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Default"/>
        <w:tabs>
          <w:tab w:val="left" w:pos="567"/>
        </w:tabs>
        <w:rPr>
          <w:b/>
          <w:bCs/>
          <w:sz w:val="32"/>
          <w:szCs w:val="20"/>
          <w:u w:val="single"/>
        </w:rPr>
      </w:pPr>
      <w:bookmarkStart w:id="0" w:name="_GoBack"/>
      <w:bookmarkEnd w:id="0"/>
    </w:p>
    <w:p>
      <w:pPr>
        <w:pStyle w:val="Default"/>
        <w:tabs>
          <w:tab w:val="left" w:pos="567"/>
        </w:tabs>
        <w:rPr>
          <w:b/>
          <w:bCs/>
          <w:sz w:val="36"/>
          <w:szCs w:val="36"/>
          <w:u w:val="single"/>
        </w:rPr>
      </w:pPr>
      <w:r>
        <w:rPr>
          <w:b/>
          <w:bCs/>
          <w:sz w:val="36"/>
          <w:szCs w:val="36"/>
          <w:u w:val="single"/>
        </w:rPr>
        <w:t>C</w:t>
      </w:r>
      <w:r>
        <w:rPr>
          <w:b/>
          <w:bCs/>
          <w:sz w:val="36"/>
          <w:szCs w:val="36"/>
          <w:u w:val="single"/>
        </w:rPr>
        <w:t xml:space="preserve"> </w:t>
      </w:r>
      <w:r>
        <w:rPr>
          <w:b/>
          <w:bCs/>
          <w:sz w:val="36"/>
          <w:szCs w:val="36"/>
          <w:u w:val="single"/>
        </w:rPr>
        <w:tab/>
      </w:r>
      <w:r>
        <w:rPr>
          <w:b/>
          <w:bCs/>
          <w:sz w:val="36"/>
          <w:szCs w:val="36"/>
          <w:u w:val="single"/>
        </w:rPr>
        <w:t>Vertragsbedingungen</w:t>
      </w:r>
    </w:p>
    <w:p>
      <w:pPr>
        <w:pStyle w:val="Default"/>
        <w:rPr>
          <w:b/>
          <w:bCs/>
          <w:u w:val="single"/>
        </w:rPr>
      </w:pPr>
    </w:p>
    <w:p>
      <w:pPr>
        <w:pStyle w:val="Default"/>
        <w:rPr>
          <w:b/>
          <w:bCs/>
        </w:rPr>
      </w:pPr>
    </w:p>
    <w:p>
      <w:pPr>
        <w:pStyle w:val="Default"/>
        <w:rPr>
          <w:b/>
          <w:bCs/>
        </w:rPr>
      </w:pPr>
    </w:p>
    <w:p>
      <w:pPr>
        <w:pStyle w:val="Default"/>
        <w:rPr>
          <w:b/>
          <w:bCs/>
        </w:rPr>
      </w:pPr>
    </w:p>
    <w:p>
      <w:pPr>
        <w:pStyle w:val="Default"/>
        <w:rPr>
          <w:b/>
          <w:bCs/>
        </w:rPr>
      </w:pPr>
    </w:p>
    <w:p>
      <w:pPr>
        <w:pStyle w:val="Default"/>
        <w:rPr>
          <w:b/>
          <w:bCs/>
        </w:rPr>
      </w:pPr>
    </w:p>
    <w:p>
      <w:pPr>
        <w:pStyle w:val="Default"/>
        <w:rPr>
          <w:b/>
          <w:bCs/>
        </w:rPr>
      </w:pPr>
    </w:p>
    <w:p>
      <w:pPr>
        <w:pStyle w:val="Default"/>
        <w:rPr>
          <w:b/>
          <w:bCs/>
        </w:rPr>
      </w:pPr>
    </w:p>
    <w:p>
      <w:pPr>
        <w:pStyle w:val="Default"/>
        <w:rPr>
          <w:b/>
          <w:bCs/>
        </w:rPr>
      </w:pPr>
    </w:p>
    <w:p>
      <w:pPr>
        <w:pStyle w:val="Default"/>
        <w:rPr>
          <w:b/>
          <w:bCs/>
        </w:rPr>
      </w:pPr>
    </w:p>
    <w:p>
      <w:pPr>
        <w:pStyle w:val="Default"/>
        <w:rPr>
          <w:b/>
          <w:bCs/>
        </w:rPr>
      </w:pPr>
    </w:p>
    <w:p>
      <w:pPr>
        <w:pStyle w:val="Default"/>
        <w:rPr>
          <w:b/>
          <w:bCs/>
        </w:rPr>
      </w:pPr>
    </w:p>
    <w:p>
      <w:pPr>
        <w:pStyle w:val="Default"/>
        <w:rPr>
          <w:b/>
          <w:bCs/>
        </w:rPr>
      </w:pPr>
    </w:p>
    <w:p>
      <w:pPr>
        <w:pStyle w:val="Default"/>
      </w:pPr>
    </w:p>
    <w:p>
      <w:pPr>
        <w:pStyle w:val="Default"/>
        <w:jc w:val="center"/>
      </w:pPr>
      <w:r>
        <w:t xml:space="preserve"> über die Durchführung </w:t>
      </w:r>
      <w:r>
        <w:t xml:space="preserve">der </w:t>
      </w:r>
      <w:r>
        <w:t>D</w:t>
      </w:r>
      <w:r>
        <w:t>ienstleistung</w:t>
      </w:r>
    </w:p>
    <w:p>
      <w:pPr>
        <w:pStyle w:val="Default"/>
        <w:jc w:val="center"/>
      </w:pPr>
    </w:p>
    <w:p>
      <w:pPr>
        <w:tabs>
          <w:tab w:val="left" w:pos="709"/>
        </w:tabs>
        <w:jc w:val="center"/>
        <w:rPr>
          <w:rFonts w:cs="Arial"/>
          <w:b/>
          <w:bCs/>
          <w:sz w:val="32"/>
          <w:szCs w:val="32"/>
        </w:rPr>
      </w:pPr>
      <w:r>
        <w:rPr>
          <w:rFonts w:cs="Arial"/>
          <w:b/>
          <w:bCs/>
          <w:sz w:val="32"/>
          <w:szCs w:val="32"/>
        </w:rPr>
        <w:t>Rahmenvertrag bedarfsabhängige Dolmetscherleistungen</w:t>
      </w:r>
    </w:p>
    <w:p>
      <w:pPr>
        <w:pStyle w:val="Default"/>
        <w:jc w:val="center"/>
        <w:rPr>
          <w:b/>
          <w:bCs/>
          <w:sz w:val="32"/>
          <w:szCs w:val="32"/>
        </w:rPr>
      </w:pPr>
    </w:p>
    <w:p>
      <w:pPr>
        <w:pStyle w:val="Default"/>
        <w:jc w:val="center"/>
      </w:pPr>
    </w:p>
    <w:p>
      <w:pPr>
        <w:pStyle w:val="Default"/>
      </w:pPr>
    </w:p>
    <w:p>
      <w:pPr>
        <w:rPr>
          <w:rFonts w:cs="Arial"/>
          <w:color w:val="000000"/>
          <w:sz w:val="24"/>
        </w:rPr>
      </w:pPr>
      <w:r>
        <w:rPr>
          <w:rFonts w:cs="Arial"/>
          <w:sz w:val="24"/>
        </w:rPr>
        <w:br w:type="page"/>
      </w:r>
    </w:p>
    <w:p>
      <w:pPr>
        <w:pStyle w:val="Default"/>
      </w:pPr>
    </w:p>
    <w:p>
      <w:pPr>
        <w:pStyle w:val="Default"/>
        <w:rPr>
          <w:b/>
          <w:bCs/>
        </w:rPr>
      </w:pPr>
    </w:p>
    <w:p>
      <w:pPr>
        <w:pStyle w:val="Default"/>
        <w:rPr>
          <w:b/>
          <w:bCs/>
        </w:rPr>
      </w:pPr>
      <w:r>
        <w:rPr>
          <w:b/>
          <w:bCs/>
        </w:rPr>
        <w:t>Übersicht</w:t>
      </w:r>
    </w:p>
    <w:p>
      <w:pPr>
        <w:pStyle w:val="Default"/>
      </w:pPr>
    </w:p>
    <w:p>
      <w:pPr>
        <w:pStyle w:val="Default"/>
      </w:pPr>
      <w:r>
        <w:t xml:space="preserve">§ 1 Vertragsgegenstand </w:t>
      </w:r>
    </w:p>
    <w:p>
      <w:pPr>
        <w:pStyle w:val="Default"/>
      </w:pPr>
      <w:r>
        <w:t xml:space="preserve">§ 2 Vertragsbestandteile </w:t>
      </w:r>
    </w:p>
    <w:p>
      <w:pPr>
        <w:pStyle w:val="Default"/>
      </w:pPr>
      <w:r>
        <w:t xml:space="preserve">§ 3 Vertragslaufzeit </w:t>
      </w:r>
    </w:p>
    <w:p>
      <w:pPr>
        <w:pStyle w:val="Default"/>
      </w:pPr>
      <w:r>
        <w:t xml:space="preserve">§ 4 Durchführung des Vertrages </w:t>
      </w:r>
    </w:p>
    <w:p>
      <w:pPr>
        <w:pStyle w:val="Default"/>
      </w:pPr>
      <w:r>
        <w:t xml:space="preserve">§ 5 Vergütung </w:t>
      </w:r>
    </w:p>
    <w:p>
      <w:pPr>
        <w:pStyle w:val="Default"/>
      </w:pPr>
      <w:r>
        <w:t xml:space="preserve">§ 6 Rechnungslegung </w:t>
      </w:r>
    </w:p>
    <w:p>
      <w:pPr>
        <w:pStyle w:val="Default"/>
      </w:pPr>
      <w:r>
        <w:t xml:space="preserve">§ 7 </w:t>
      </w:r>
      <w:r>
        <w:t>Haftpflichtversicherung des Auftragnehmers/der Auftragnehmerin</w:t>
      </w:r>
    </w:p>
    <w:p>
      <w:pPr>
        <w:pStyle w:val="Default"/>
      </w:pPr>
      <w:r>
        <w:t>§ 8</w:t>
      </w:r>
      <w:r>
        <w:t xml:space="preserve"> </w:t>
      </w:r>
      <w:r>
        <w:t>Aufrechnung</w:t>
      </w:r>
      <w:r>
        <w:t xml:space="preserve"> </w:t>
      </w:r>
    </w:p>
    <w:p>
      <w:pPr>
        <w:pStyle w:val="Default"/>
      </w:pPr>
      <w:r>
        <w:t>§ 9</w:t>
      </w:r>
      <w:r>
        <w:t xml:space="preserve"> Kündigungsrechte des Auftraggebers </w:t>
      </w:r>
    </w:p>
    <w:p>
      <w:pPr>
        <w:pStyle w:val="Default"/>
      </w:pPr>
      <w:r>
        <w:t>§ 1</w:t>
      </w:r>
      <w:r>
        <w:t>0</w:t>
      </w:r>
      <w:r>
        <w:t xml:space="preserve"> Datenschutz </w:t>
      </w:r>
    </w:p>
    <w:p>
      <w:pPr>
        <w:pStyle w:val="Default"/>
      </w:pPr>
      <w:r>
        <w:t>§ 1</w:t>
      </w:r>
      <w:r>
        <w:t>1</w:t>
      </w:r>
      <w:r>
        <w:t xml:space="preserve"> Allgemeines Gleichbehandlungsgesetz </w:t>
      </w:r>
    </w:p>
    <w:p>
      <w:pPr>
        <w:pStyle w:val="Default"/>
      </w:pPr>
      <w:r>
        <w:t>§ 12</w:t>
      </w:r>
      <w:r>
        <w:t xml:space="preserve"> Rücktritt und Antikorruptionsklausel </w:t>
      </w:r>
    </w:p>
    <w:p>
      <w:pPr>
        <w:pStyle w:val="Default"/>
      </w:pPr>
      <w:r>
        <w:t>§ 13</w:t>
      </w:r>
      <w:r>
        <w:t xml:space="preserve"> Informationspflichten und Prüfrecht </w:t>
      </w:r>
    </w:p>
    <w:p>
      <w:pPr>
        <w:pStyle w:val="Default"/>
      </w:pPr>
      <w:r>
        <w:t>§ 1</w:t>
      </w:r>
      <w:r>
        <w:t>4</w:t>
      </w:r>
      <w:r>
        <w:t xml:space="preserve"> Beauftragung von Subunternehmern </w:t>
      </w:r>
    </w:p>
    <w:p>
      <w:pPr>
        <w:pStyle w:val="Default"/>
      </w:pPr>
      <w:r>
        <w:t>§ 1</w:t>
      </w:r>
      <w:r>
        <w:t>5</w:t>
      </w:r>
      <w:r>
        <w:t xml:space="preserve"> Presse- und Öffentlichkeitsarbeit  </w:t>
      </w:r>
    </w:p>
    <w:p>
      <w:pPr>
        <w:pStyle w:val="Default"/>
      </w:pPr>
      <w:r>
        <w:t>§ 16</w:t>
      </w:r>
      <w:r>
        <w:t xml:space="preserve"> Regelung zur Vergütung und Zahlungsweise</w:t>
      </w:r>
      <w:r>
        <w:t xml:space="preserve"> </w:t>
      </w:r>
    </w:p>
    <w:p>
      <w:pPr>
        <w:pStyle w:val="Default"/>
      </w:pPr>
      <w:r>
        <w:t>§ 17</w:t>
      </w:r>
      <w:r>
        <w:t xml:space="preserve"> Erfüllungsort und Gerichtsstand</w:t>
      </w:r>
    </w:p>
    <w:p>
      <w:pPr>
        <w:pStyle w:val="Default"/>
      </w:pPr>
      <w:r>
        <w:t xml:space="preserve">§ </w:t>
      </w:r>
      <w:r>
        <w:t>1</w:t>
      </w:r>
      <w:r>
        <w:t>8</w:t>
      </w:r>
      <w:r>
        <w:t xml:space="preserve"> Schriftformerfordernis und Salvatorische Klausel</w:t>
      </w:r>
    </w:p>
    <w:p>
      <w:pPr>
        <w:rPr>
          <w:rFonts w:cs="Arial"/>
          <w:color w:val="000000"/>
          <w:sz w:val="24"/>
        </w:rPr>
      </w:pPr>
      <w:r>
        <w:br w:type="page"/>
      </w:r>
    </w:p>
    <w:p>
      <w:pPr>
        <w:pStyle w:val="Default"/>
        <w:jc w:val="both"/>
        <w:rPr>
          <w:b/>
          <w:bCs/>
        </w:rPr>
      </w:pPr>
      <w:r>
        <w:rPr>
          <w:b/>
          <w:bCs/>
        </w:rPr>
        <w:lastRenderedPageBreak/>
        <w:t>§ 1 Vertragsgegenstand</w:t>
      </w:r>
    </w:p>
    <w:p>
      <w:pPr>
        <w:pStyle w:val="Default"/>
        <w:numPr>
          <w:ilvl w:val="0"/>
          <w:numId w:val="1"/>
        </w:numPr>
        <w:ind w:left="426" w:hanging="426"/>
        <w:jc w:val="both"/>
      </w:pPr>
      <w:r>
        <w:t>Der Auftraggeber überträgt dem Auftragnehmer</w:t>
      </w:r>
      <w:r>
        <w:t>/der Auftragnehmerin</w:t>
      </w:r>
      <w:r>
        <w:t xml:space="preserve"> die Durc</w:t>
      </w:r>
      <w:r>
        <w:t>h</w:t>
      </w:r>
      <w:r>
        <w:t xml:space="preserve">führung der </w:t>
      </w:r>
      <w:r>
        <w:t>D</w:t>
      </w:r>
      <w:r>
        <w:t>ienstleistung</w:t>
      </w:r>
      <w:r>
        <w:t xml:space="preserve"> „Bedarfsabhängige Dolmetscherleistungen“</w:t>
      </w:r>
      <w:r>
        <w:t>. Die Z</w:t>
      </w:r>
      <w:r>
        <w:t>u</w:t>
      </w:r>
      <w:r>
        <w:t xml:space="preserve">sammenstellung der vertraglich vereinbarten </w:t>
      </w:r>
      <w:r>
        <w:t>Leistungen</w:t>
      </w:r>
      <w:r>
        <w:t xml:space="preserve"> </w:t>
      </w:r>
      <w:r>
        <w:t>ist</w:t>
      </w:r>
      <w:r>
        <w:t xml:space="preserve"> den Vergabeunterl</w:t>
      </w:r>
      <w:r>
        <w:t>a</w:t>
      </w:r>
      <w:r>
        <w:t>gen</w:t>
      </w:r>
      <w:r>
        <w:t>,</w:t>
      </w:r>
      <w:r>
        <w:t xml:space="preserve"> </w:t>
      </w:r>
      <w:r>
        <w:t xml:space="preserve">insbesondere </w:t>
      </w:r>
      <w:r>
        <w:t xml:space="preserve">der Leistungsbeschreibung und </w:t>
      </w:r>
      <w:r>
        <w:t>dem</w:t>
      </w:r>
      <w:r>
        <w:t xml:space="preserve"> Los- und</w:t>
      </w:r>
      <w:r>
        <w:t xml:space="preserve"> Preisblatt (E.1)</w:t>
      </w:r>
      <w:r>
        <w:t>,</w:t>
      </w:r>
      <w:r>
        <w:t xml:space="preserve"> </w:t>
      </w:r>
      <w:r>
        <w:t>zu entnehmen.</w:t>
      </w:r>
    </w:p>
    <w:p>
      <w:pPr>
        <w:pStyle w:val="Default"/>
        <w:ind w:left="426"/>
        <w:jc w:val="both"/>
      </w:pPr>
    </w:p>
    <w:p>
      <w:pPr>
        <w:pStyle w:val="Default"/>
        <w:numPr>
          <w:ilvl w:val="0"/>
          <w:numId w:val="1"/>
        </w:numPr>
        <w:ind w:left="426" w:hanging="426"/>
        <w:jc w:val="both"/>
      </w:pPr>
      <w:r>
        <w:t>Die Anforderung der Dienstleistung durch den Auftraggeber erfolgt rein nach B</w:t>
      </w:r>
      <w:r>
        <w:t>e</w:t>
      </w:r>
      <w:r>
        <w:t>darf; eine Verpflichtung seitens des Auftraggebers, Aufträge zu erteilen und b</w:t>
      </w:r>
      <w:r>
        <w:t>e</w:t>
      </w:r>
      <w:r>
        <w:t>stimmte Mengen abzunehmen, besteht nicht.</w:t>
      </w:r>
    </w:p>
    <w:p>
      <w:pPr>
        <w:pStyle w:val="Default"/>
        <w:ind w:left="426"/>
        <w:jc w:val="both"/>
      </w:pPr>
    </w:p>
    <w:p>
      <w:pPr>
        <w:pStyle w:val="Default"/>
        <w:numPr>
          <w:ilvl w:val="0"/>
          <w:numId w:val="1"/>
        </w:numPr>
        <w:ind w:left="426" w:hanging="426"/>
        <w:jc w:val="both"/>
      </w:pPr>
      <w:r>
        <w:t>Inhalt und Umfang der vom Auftragnehmer</w:t>
      </w:r>
      <w:r>
        <w:t>/von der Auftragnehmerin</w:t>
      </w:r>
      <w:r>
        <w:t xml:space="preserve"> zu erbri</w:t>
      </w:r>
      <w:r>
        <w:t>n</w:t>
      </w:r>
      <w:r>
        <w:t>genden Leistungen bestimmen sich nach den in § 2 bezeichneten Vertragsb</w:t>
      </w:r>
      <w:r>
        <w:t>e</w:t>
      </w:r>
      <w:r>
        <w:t>standteilen.</w:t>
      </w:r>
    </w:p>
    <w:p>
      <w:pPr>
        <w:pStyle w:val="Default"/>
        <w:jc w:val="both"/>
      </w:pPr>
    </w:p>
    <w:p>
      <w:pPr>
        <w:pStyle w:val="Default"/>
        <w:jc w:val="both"/>
      </w:pPr>
    </w:p>
    <w:p>
      <w:pPr>
        <w:pStyle w:val="Default"/>
        <w:spacing w:line="231" w:lineRule="atLeast"/>
        <w:jc w:val="both"/>
      </w:pPr>
      <w:r>
        <w:rPr>
          <w:b/>
          <w:bCs/>
        </w:rPr>
        <w:t>§ 2 Vertragsbestandteile</w:t>
      </w:r>
    </w:p>
    <w:p>
      <w:pPr>
        <w:pStyle w:val="Default"/>
        <w:numPr>
          <w:ilvl w:val="0"/>
          <w:numId w:val="2"/>
        </w:numPr>
        <w:ind w:left="426" w:hanging="426"/>
        <w:jc w:val="both"/>
      </w:pPr>
      <w:r>
        <w:t>Als Vertragsbestandteile gelten in der nachstehenden Rangfolge:</w:t>
      </w:r>
    </w:p>
    <w:p>
      <w:pPr>
        <w:pStyle w:val="Default"/>
        <w:ind w:left="720"/>
        <w:jc w:val="both"/>
      </w:pPr>
    </w:p>
    <w:p>
      <w:pPr>
        <w:pStyle w:val="Default"/>
        <w:numPr>
          <w:ilvl w:val="1"/>
          <w:numId w:val="2"/>
        </w:numPr>
        <w:ind w:left="851" w:hanging="425"/>
        <w:jc w:val="both"/>
      </w:pPr>
      <w:r>
        <w:t xml:space="preserve">die Vertragsbedingungen (C </w:t>
      </w:r>
      <w:r>
        <w:t>Vertragsbeding</w:t>
      </w:r>
      <w:r>
        <w:t>ungen</w:t>
      </w:r>
      <w:r>
        <w:t>) und Vereinbarungen ei</w:t>
      </w:r>
      <w:r>
        <w:t>n</w:t>
      </w:r>
      <w:r>
        <w:t>schließlich des diesem Vertrag zugrunde liegenden Los</w:t>
      </w:r>
      <w:r>
        <w:t>- und Preis</w:t>
      </w:r>
      <w:r>
        <w:t>blattes (E.1),</w:t>
      </w:r>
    </w:p>
    <w:p>
      <w:pPr>
        <w:pStyle w:val="Default"/>
        <w:ind w:left="851" w:hanging="425"/>
        <w:jc w:val="both"/>
      </w:pPr>
    </w:p>
    <w:p>
      <w:pPr>
        <w:pStyle w:val="Default"/>
        <w:numPr>
          <w:ilvl w:val="1"/>
          <w:numId w:val="2"/>
        </w:numPr>
        <w:ind w:left="851" w:hanging="425"/>
        <w:jc w:val="both"/>
      </w:pPr>
      <w:r>
        <w:t>die Leistungsbeschreibung zu diesem Vergabeverfahren,</w:t>
      </w:r>
    </w:p>
    <w:p>
      <w:pPr>
        <w:pStyle w:val="Default"/>
        <w:ind w:left="851" w:hanging="425"/>
        <w:jc w:val="both"/>
      </w:pPr>
    </w:p>
    <w:p>
      <w:pPr>
        <w:pStyle w:val="Default"/>
        <w:numPr>
          <w:ilvl w:val="1"/>
          <w:numId w:val="2"/>
        </w:numPr>
        <w:ind w:left="851" w:hanging="425"/>
        <w:jc w:val="both"/>
      </w:pPr>
      <w:r>
        <w:t>das Angebot (einschließlich der hierzu einzureichenden Erklärungen) des Auftragnehmers</w:t>
      </w:r>
      <w:r>
        <w:t>/der Auftragnehmerin</w:t>
      </w:r>
      <w:r>
        <w:t xml:space="preserve"> auf der Grundlage der Leistungsb</w:t>
      </w:r>
      <w:r>
        <w:t>e</w:t>
      </w:r>
      <w:r>
        <w:t>schreibung,</w:t>
      </w:r>
    </w:p>
    <w:p>
      <w:pPr>
        <w:pStyle w:val="Default"/>
        <w:ind w:left="851" w:hanging="425"/>
        <w:jc w:val="both"/>
      </w:pPr>
    </w:p>
    <w:p>
      <w:pPr>
        <w:pStyle w:val="Default"/>
        <w:numPr>
          <w:ilvl w:val="1"/>
          <w:numId w:val="2"/>
        </w:numPr>
        <w:ind w:left="851" w:hanging="425"/>
        <w:jc w:val="both"/>
      </w:pPr>
      <w:r>
        <w:t>die Allgemeinen Vertragsbedingungen für die Ausführung von Leistungen (VOL/</w:t>
      </w:r>
      <w:r>
        <w:t>A</w:t>
      </w:r>
      <w:r>
        <w:t>),</w:t>
      </w:r>
    </w:p>
    <w:p>
      <w:pPr>
        <w:pStyle w:val="Default"/>
        <w:ind w:left="851" w:hanging="425"/>
        <w:jc w:val="both"/>
      </w:pPr>
    </w:p>
    <w:p>
      <w:pPr>
        <w:pStyle w:val="Default"/>
        <w:numPr>
          <w:ilvl w:val="1"/>
          <w:numId w:val="2"/>
        </w:numPr>
        <w:ind w:left="851" w:hanging="425"/>
        <w:jc w:val="both"/>
      </w:pPr>
      <w:r>
        <w:t>im Übrigen die Bestimmungen des Bü</w:t>
      </w:r>
      <w:r>
        <w:t>rgerlichen Gesetzbuches (BGB),</w:t>
      </w:r>
    </w:p>
    <w:p>
      <w:pPr>
        <w:pStyle w:val="Default"/>
        <w:ind w:left="851"/>
        <w:jc w:val="both"/>
      </w:pPr>
    </w:p>
    <w:p>
      <w:pPr>
        <w:pStyle w:val="Default"/>
        <w:numPr>
          <w:ilvl w:val="1"/>
          <w:numId w:val="2"/>
        </w:numPr>
        <w:ind w:left="851" w:hanging="425"/>
        <w:jc w:val="both"/>
      </w:pPr>
      <w:r>
        <w:t>Vertragsbedingungen des Kreises Recklingh</w:t>
      </w:r>
      <w:r>
        <w:t>a</w:t>
      </w:r>
      <w:r>
        <w:t>usen.</w:t>
      </w:r>
    </w:p>
    <w:p>
      <w:pPr>
        <w:pStyle w:val="Default"/>
        <w:ind w:left="851" w:hanging="425"/>
        <w:jc w:val="both"/>
      </w:pPr>
    </w:p>
    <w:p>
      <w:pPr>
        <w:pStyle w:val="Default"/>
        <w:numPr>
          <w:ilvl w:val="0"/>
          <w:numId w:val="2"/>
        </w:numPr>
        <w:ind w:left="426" w:hanging="426"/>
        <w:jc w:val="both"/>
      </w:pPr>
      <w:r>
        <w:t>Etwaige Allgemeine Geschäfts-, Liefer-</w:t>
      </w:r>
      <w:r>
        <w:t xml:space="preserve"> </w:t>
      </w:r>
      <w:r>
        <w:t>und Zahlungsbedingungen des Auftra</w:t>
      </w:r>
      <w:r>
        <w:t>g</w:t>
      </w:r>
      <w:r>
        <w:t>nehmers</w:t>
      </w:r>
      <w:r>
        <w:t>/der Auftragnehmerin</w:t>
      </w:r>
      <w:r>
        <w:t xml:space="preserve"> finden keine Anwendung.</w:t>
      </w:r>
      <w:r>
        <w:t xml:space="preserve"> Das Beifügen von Al</w:t>
      </w:r>
      <w:r>
        <w:t>l</w:t>
      </w:r>
      <w:r>
        <w:t>gemeinen Geschäfts-, Liefer- und/oder Zahlungsbedingungen des Auftragne</w:t>
      </w:r>
      <w:r>
        <w:t>h</w:t>
      </w:r>
      <w:r>
        <w:t>mers</w:t>
      </w:r>
      <w:r>
        <w:t>/der Auftragnehmerin</w:t>
      </w:r>
      <w:r>
        <w:t xml:space="preserve"> zum Angebot führen zum Ausschluss des Angebotes. </w:t>
      </w:r>
    </w:p>
    <w:p>
      <w:pPr>
        <w:pStyle w:val="Default"/>
        <w:jc w:val="both"/>
      </w:pPr>
    </w:p>
    <w:p>
      <w:pPr>
        <w:pStyle w:val="Default"/>
        <w:spacing w:line="226" w:lineRule="atLeast"/>
        <w:jc w:val="both"/>
        <w:rPr>
          <w:b/>
          <w:bCs/>
        </w:rPr>
      </w:pPr>
    </w:p>
    <w:p>
      <w:pPr>
        <w:pStyle w:val="Default"/>
        <w:spacing w:line="226" w:lineRule="atLeast"/>
        <w:jc w:val="both"/>
      </w:pPr>
      <w:r>
        <w:rPr>
          <w:b/>
          <w:bCs/>
        </w:rPr>
        <w:t>§ 3 Vertragslaufzeit</w:t>
      </w:r>
    </w:p>
    <w:p>
      <w:pPr>
        <w:pStyle w:val="Default"/>
        <w:numPr>
          <w:ilvl w:val="0"/>
          <w:numId w:val="30"/>
        </w:numPr>
        <w:ind w:left="426" w:hanging="426"/>
        <w:jc w:val="both"/>
      </w:pPr>
      <w:r>
        <w:t>Vertragsbeginn und Vertragsende sind dem Los- und Preisblatt (E.1) sowie der Leistungsbeschreibung zu entnehmen. Der Vertrag endet, ohne dass es einer Kündigung bedarf.</w:t>
      </w:r>
    </w:p>
    <w:p>
      <w:pPr>
        <w:pStyle w:val="Default"/>
        <w:ind w:left="426"/>
        <w:jc w:val="both"/>
      </w:pPr>
    </w:p>
    <w:p>
      <w:pPr>
        <w:pStyle w:val="Default"/>
        <w:numPr>
          <w:ilvl w:val="0"/>
          <w:numId w:val="30"/>
        </w:numPr>
        <w:ind w:left="426" w:hanging="426"/>
        <w:jc w:val="both"/>
      </w:pPr>
      <w:r>
        <w:t>Die Verträge zu den Losen verlängern sich einmalig um 24 Monate (Optionszei</w:t>
      </w:r>
      <w:r>
        <w:t>t</w:t>
      </w:r>
      <w:r>
        <w:t>raum), wenn der Auftraggeber und der Auftragnehmer</w:t>
      </w:r>
      <w:r>
        <w:t>/die Auftragnehmerin</w:t>
      </w:r>
      <w:r>
        <w:t xml:space="preserve"> sich über die Verlängerung des Vertrages spätestens drei Monate vor dem Ende des Vertrages laut Losblatt (E.1) schriftlich geeinigt haben. Mit Ablauf der Verläng</w:t>
      </w:r>
      <w:r>
        <w:t>e</w:t>
      </w:r>
      <w:r>
        <w:t>rung endet der Vertrag, ohne dass es einer Kündigung bedarf.</w:t>
      </w:r>
    </w:p>
    <w:p>
      <w:pPr>
        <w:pStyle w:val="Default"/>
        <w:ind w:left="426"/>
        <w:jc w:val="both"/>
      </w:pPr>
    </w:p>
    <w:p>
      <w:pPr>
        <w:pStyle w:val="Default"/>
        <w:numPr>
          <w:ilvl w:val="0"/>
          <w:numId w:val="30"/>
        </w:numPr>
        <w:ind w:left="426" w:hanging="426"/>
        <w:jc w:val="both"/>
      </w:pPr>
      <w:r>
        <w:t>Sämtliche anderen vertraglichen Regelungen gelten für den verlängerten Vertrag unverändert fort.</w:t>
      </w:r>
    </w:p>
    <w:p>
      <w:pPr>
        <w:pStyle w:val="Default"/>
        <w:spacing w:line="231" w:lineRule="atLeast"/>
        <w:jc w:val="both"/>
        <w:rPr>
          <w:b/>
          <w:bCs/>
        </w:rPr>
      </w:pPr>
    </w:p>
    <w:p>
      <w:pPr>
        <w:pStyle w:val="Default"/>
        <w:spacing w:line="231" w:lineRule="atLeast"/>
        <w:jc w:val="both"/>
        <w:rPr>
          <w:b/>
          <w:bCs/>
        </w:rPr>
      </w:pPr>
    </w:p>
    <w:p>
      <w:pPr>
        <w:pStyle w:val="Default"/>
        <w:spacing w:line="231" w:lineRule="atLeast"/>
        <w:jc w:val="both"/>
      </w:pPr>
      <w:r>
        <w:rPr>
          <w:b/>
          <w:bCs/>
        </w:rPr>
        <w:t>§ 4 Durchführung des Vertrages</w:t>
      </w:r>
    </w:p>
    <w:p>
      <w:pPr>
        <w:pStyle w:val="Default"/>
        <w:numPr>
          <w:ilvl w:val="0"/>
          <w:numId w:val="3"/>
        </w:numPr>
        <w:ind w:left="426" w:hanging="426"/>
        <w:jc w:val="both"/>
      </w:pPr>
      <w:r>
        <w:t>Der Auftragnehmer</w:t>
      </w:r>
      <w:r>
        <w:t>/</w:t>
      </w:r>
      <w:r>
        <w:t>D</w:t>
      </w:r>
      <w:r>
        <w:t>ie Auftragnehmerin</w:t>
      </w:r>
      <w:r>
        <w:t xml:space="preserve"> verpflichtet sich, seine</w:t>
      </w:r>
      <w:r>
        <w:t>/ihre</w:t>
      </w:r>
      <w:r>
        <w:t xml:space="preserve"> vertraglich geschuldeten Leistungen vertragsgerecht unter Anwendung größtmöglicher Sorgfalt innerhalb der vereinbarten Fristen zu erbringen. Der Auftragnehmer</w:t>
      </w:r>
      <w:r>
        <w:t>/die Auftragnehmerin</w:t>
      </w:r>
      <w:r>
        <w:t xml:space="preserve"> hat bei der Durchführung dieses Vertrages die gesetzlichen Vorschriften sowie die </w:t>
      </w:r>
      <w:r>
        <w:rPr>
          <w:color w:val="auto"/>
        </w:rPr>
        <w:t xml:space="preserve">einschlägigen Verwaltungsvorschriften </w:t>
      </w:r>
      <w:r>
        <w:t>zu beachten.</w:t>
      </w:r>
    </w:p>
    <w:p>
      <w:pPr>
        <w:pStyle w:val="Default"/>
        <w:jc w:val="both"/>
      </w:pPr>
    </w:p>
    <w:p>
      <w:pPr>
        <w:pStyle w:val="Default"/>
        <w:numPr>
          <w:ilvl w:val="0"/>
          <w:numId w:val="3"/>
        </w:numPr>
        <w:jc w:val="both"/>
      </w:pPr>
      <w:r>
        <w:t>Der Auftragnehmer</w:t>
      </w:r>
      <w:r>
        <w:t>/D</w:t>
      </w:r>
      <w:r>
        <w:t>ie Auftragnehmerin</w:t>
      </w:r>
      <w:r>
        <w:t xml:space="preserve"> </w:t>
      </w:r>
      <w:r>
        <w:t>verpflichtet sich,</w:t>
      </w:r>
      <w:r>
        <w:t xml:space="preserve"> mit Abgabe se</w:t>
      </w:r>
      <w:r>
        <w:t>i</w:t>
      </w:r>
      <w:r>
        <w:t>nes</w:t>
      </w:r>
      <w:r>
        <w:t>/ihres</w:t>
      </w:r>
      <w:r>
        <w:t xml:space="preserve"> Angebots </w:t>
      </w:r>
      <w:r>
        <w:t>die in B.1.3.2 der Leistungsbeschreibung aufgeführten Qual</w:t>
      </w:r>
      <w:r>
        <w:t>i</w:t>
      </w:r>
      <w:r>
        <w:t>fikations- und ggf. sonstigen Nachweise zu erbringen</w:t>
      </w:r>
      <w:r>
        <w:t>.</w:t>
      </w:r>
    </w:p>
    <w:p>
      <w:pPr>
        <w:pStyle w:val="Default"/>
        <w:ind w:left="360"/>
        <w:jc w:val="both"/>
      </w:pPr>
    </w:p>
    <w:p>
      <w:pPr>
        <w:pStyle w:val="Default"/>
        <w:numPr>
          <w:ilvl w:val="0"/>
          <w:numId w:val="3"/>
        </w:numPr>
        <w:ind w:left="426" w:hanging="426"/>
        <w:jc w:val="both"/>
      </w:pPr>
      <w:r>
        <w:t>Der Auftragnehmer</w:t>
      </w:r>
      <w:r>
        <w:t>/D</w:t>
      </w:r>
      <w:r>
        <w:t>ie Auftragnehmerin</w:t>
      </w:r>
      <w:r>
        <w:t xml:space="preserve"> hat seine</w:t>
      </w:r>
      <w:r>
        <w:t>/ihre</w:t>
      </w:r>
      <w:r>
        <w:t xml:space="preserve"> vertraglich geschuldeten Leistungen frei von Rechten Dritter zu erbringen. Der Auftragnehmer</w:t>
      </w:r>
      <w:r>
        <w:t>/die Auftra</w:t>
      </w:r>
      <w:r>
        <w:t>g</w:t>
      </w:r>
      <w:r>
        <w:t>nehmerin</w:t>
      </w:r>
      <w:r>
        <w:t xml:space="preserve"> stellt den Auftraggeber von etwaigen Schadenersatzansprüchen Dritter jeder Art frei, sofern die Ansprüche auf ein schuldhaftes Verhalten des Auftra</w:t>
      </w:r>
      <w:r>
        <w:t>g</w:t>
      </w:r>
      <w:r>
        <w:t>nehmers</w:t>
      </w:r>
      <w:r>
        <w:t>/der Auftragnehmerin</w:t>
      </w:r>
      <w:r>
        <w:t xml:space="preserve"> im Zusammenhang mit der Maßnahme und Durc</w:t>
      </w:r>
      <w:r>
        <w:t>h</w:t>
      </w:r>
      <w:r>
        <w:t>führung dieses Vertrages zurück zu führen sind.</w:t>
      </w:r>
    </w:p>
    <w:p>
      <w:pPr>
        <w:pStyle w:val="Default"/>
        <w:jc w:val="both"/>
      </w:pPr>
    </w:p>
    <w:p>
      <w:pPr>
        <w:pStyle w:val="Default"/>
        <w:numPr>
          <w:ilvl w:val="0"/>
          <w:numId w:val="3"/>
        </w:numPr>
        <w:jc w:val="both"/>
      </w:pPr>
      <w:r>
        <w:t>Fallen ein oder mehrere Mitglieder einer Bietergemeinschaft nach der Z</w:t>
      </w:r>
      <w:r>
        <w:t>u</w:t>
      </w:r>
      <w:r>
        <w:t>schlagserteilung aus, muss weiterhin die ordnungsgemäße Leistungserbringung sichergestellt sein. Der Auftraggeber</w:t>
      </w:r>
      <w:r>
        <w:t xml:space="preserve"> ist</w:t>
      </w:r>
      <w:r>
        <w:t xml:space="preserve"> unverzüglich über den Ausfall schriftlich zu informieren. Die Aufnahme eines weiteren Mitgl</w:t>
      </w:r>
      <w:r>
        <w:t>ieds der Bietergemeinschaft ist</w:t>
      </w:r>
      <w:r>
        <w:t xml:space="preserve"> zulässig, vorausgesetzt, der Auftraggeber hat dem neu benannten Mitglied zug</w:t>
      </w:r>
      <w:r>
        <w:t>e</w:t>
      </w:r>
      <w:r>
        <w:t>stimmt.</w:t>
      </w:r>
    </w:p>
    <w:p>
      <w:pPr>
        <w:pStyle w:val="Default"/>
        <w:jc w:val="both"/>
      </w:pPr>
    </w:p>
    <w:p>
      <w:pPr>
        <w:pStyle w:val="Default"/>
        <w:jc w:val="both"/>
      </w:pPr>
    </w:p>
    <w:p>
      <w:pPr>
        <w:pStyle w:val="Default"/>
        <w:jc w:val="both"/>
        <w:rPr>
          <w:b/>
          <w:bCs/>
        </w:rPr>
      </w:pPr>
      <w:r>
        <w:rPr>
          <w:b/>
          <w:bCs/>
        </w:rPr>
        <w:t>§ 5 Vergütung</w:t>
      </w:r>
    </w:p>
    <w:p>
      <w:pPr>
        <w:pStyle w:val="Default"/>
        <w:numPr>
          <w:ilvl w:val="0"/>
          <w:numId w:val="4"/>
        </w:numPr>
        <w:ind w:left="426" w:hanging="426"/>
        <w:jc w:val="both"/>
      </w:pPr>
      <w:r>
        <w:t>Die Leistungen des Auftragnehmers</w:t>
      </w:r>
      <w:r>
        <w:t>/der Auftragnehmerin</w:t>
      </w:r>
      <w:r>
        <w:t xml:space="preserve"> sind nach dem jeweil</w:t>
      </w:r>
      <w:r>
        <w:t>i</w:t>
      </w:r>
      <w:r>
        <w:t>gen Los</w:t>
      </w:r>
      <w:r>
        <w:t>- und Preis</w:t>
      </w:r>
      <w:r>
        <w:t>blatt  (E.1) zu vergüten.</w:t>
      </w:r>
      <w:r>
        <w:t xml:space="preserve"> </w:t>
      </w:r>
      <w:r>
        <w:t xml:space="preserve">Auf die Regelungen zur Vergütung und Zahlungsweise in § </w:t>
      </w:r>
      <w:r>
        <w:t>16</w:t>
      </w:r>
      <w:r>
        <w:t xml:space="preserve"> dieser Vertragsbedingungen wird ausdrücklich hi</w:t>
      </w:r>
      <w:r>
        <w:t>n</w:t>
      </w:r>
      <w:r>
        <w:t>gewiesen.</w:t>
      </w:r>
    </w:p>
    <w:p>
      <w:pPr>
        <w:pStyle w:val="Default"/>
        <w:ind w:left="426" w:hanging="426"/>
        <w:jc w:val="both"/>
      </w:pPr>
    </w:p>
    <w:p>
      <w:pPr>
        <w:pStyle w:val="Default"/>
        <w:numPr>
          <w:ilvl w:val="0"/>
          <w:numId w:val="4"/>
        </w:numPr>
        <w:ind w:left="426" w:hanging="426"/>
        <w:jc w:val="both"/>
      </w:pPr>
      <w:r>
        <w:t>Der vereinbarte Preis ist ein Festpreis. Mit diesem Festpreis werden alle Leistu</w:t>
      </w:r>
      <w:r>
        <w:t>n</w:t>
      </w:r>
      <w:r>
        <w:t xml:space="preserve">gen abgegolten, die zur ordnungsgemäßen Erfüllung des Vertrages erforderlich sind. Erhöhungen des Festpreises während der gesamten Vertragslaufzeit sind ausgeschlossen, sofern in diesem Vertrag nicht etwas anderes geregelt ist. </w:t>
      </w:r>
    </w:p>
    <w:p>
      <w:pPr>
        <w:pStyle w:val="Listenabsatz"/>
      </w:pPr>
    </w:p>
    <w:p>
      <w:pPr>
        <w:pStyle w:val="Default"/>
        <w:numPr>
          <w:ilvl w:val="0"/>
          <w:numId w:val="4"/>
        </w:numPr>
        <w:ind w:left="426" w:hanging="426"/>
        <w:jc w:val="both"/>
      </w:pPr>
      <w:r>
        <w:t>Für den Fall des Einsatzes zur Begleitung des Ermittlungsdienstes</w:t>
      </w:r>
      <w:r>
        <w:t xml:space="preserve"> oder anderer Beschäftigter des Jobcenters Kreis Recklinghausen</w:t>
      </w:r>
      <w:r>
        <w:t xml:space="preserve"> im Außeneinsatz bei Ku</w:t>
      </w:r>
      <w:r>
        <w:t>n</w:t>
      </w:r>
      <w:r>
        <w:t>dinnen/Kun</w:t>
      </w:r>
      <w:r>
        <w:t>den</w:t>
      </w:r>
      <w:r>
        <w:t xml:space="preserve"> </w:t>
      </w:r>
      <w:r>
        <w:t xml:space="preserve">– soweit es sich um einen in sich abgeschlossenen Einzelauftrag handelt </w:t>
      </w:r>
      <w:r>
        <w:t>–</w:t>
      </w:r>
      <w:r>
        <w:t xml:space="preserve"> </w:t>
      </w:r>
      <w:r>
        <w:t xml:space="preserve">gilt </w:t>
      </w:r>
      <w:r>
        <w:t>Folgendes:</w:t>
      </w:r>
    </w:p>
    <w:p>
      <w:pPr>
        <w:pStyle w:val="Listenabsatz"/>
      </w:pPr>
    </w:p>
    <w:p>
      <w:pPr>
        <w:pStyle w:val="Default"/>
        <w:numPr>
          <w:ilvl w:val="0"/>
          <w:numId w:val="28"/>
        </w:numPr>
        <w:jc w:val="both"/>
      </w:pPr>
      <w:r>
        <w:t>Die Anfahrt zum ersten vom Auftraggeber bestimmten Einsatzort bzw. die A</w:t>
      </w:r>
      <w:r>
        <w:t>b</w:t>
      </w:r>
      <w:r>
        <w:t>fahrt vom letzten Einsatzort nach Ende des Einzelauftrages ist mit der übl</w:t>
      </w:r>
      <w:r>
        <w:t>i</w:t>
      </w:r>
      <w:r>
        <w:t>chen Vergütung abgegolten.</w:t>
      </w:r>
    </w:p>
    <w:p>
      <w:pPr>
        <w:pStyle w:val="Default"/>
        <w:numPr>
          <w:ilvl w:val="0"/>
          <w:numId w:val="28"/>
        </w:numPr>
        <w:jc w:val="both"/>
      </w:pPr>
      <w:r>
        <w:t>Jede notwendige Fahrt zur Wahrnehmung verschiedener Termine zwischen den benannten An- und Abfahrten wird nach Abs. 1 vergütet</w:t>
      </w:r>
      <w:r>
        <w:t xml:space="preserve">. Eine besondere Vergütung für </w:t>
      </w:r>
      <w:r>
        <w:t xml:space="preserve">diese </w:t>
      </w:r>
      <w:r>
        <w:t xml:space="preserve">Fahrtkosten erfolgt nicht. </w:t>
      </w:r>
    </w:p>
    <w:p>
      <w:pPr>
        <w:pStyle w:val="Default"/>
        <w:ind w:left="426"/>
        <w:jc w:val="both"/>
      </w:pPr>
    </w:p>
    <w:p>
      <w:pPr>
        <w:pStyle w:val="Default"/>
        <w:numPr>
          <w:ilvl w:val="0"/>
          <w:numId w:val="4"/>
        </w:numPr>
        <w:ind w:left="426" w:hanging="426"/>
        <w:jc w:val="both"/>
      </w:pPr>
      <w:r>
        <w:t>Sofern Leistungen der Umsatzsteuerpflicht unterliegen, beinhaltet der Festpreis die Umsatzsteuer. Ein Anpassungsanspruch des Auftragnehmers</w:t>
      </w:r>
      <w:r>
        <w:t>/der Auftra</w:t>
      </w:r>
      <w:r>
        <w:t>g</w:t>
      </w:r>
      <w:r>
        <w:t>nehmerin</w:t>
      </w:r>
      <w:r>
        <w:t xml:space="preserve"> bei Änderung des Umsatzsteuersatzes besteht nicht. Entfällt die U</w:t>
      </w:r>
      <w:r>
        <w:t>m</w:t>
      </w:r>
      <w:r>
        <w:t>satzsteuerpflicht für Leistungen ganz oder teilweise nach Angebotsabgabe des Auftragnehmers</w:t>
      </w:r>
      <w:r>
        <w:t>/der Auftragnehmerin</w:t>
      </w:r>
      <w:r>
        <w:t>, hat der Auftraggeber</w:t>
      </w:r>
      <w:r>
        <w:t xml:space="preserve"> </w:t>
      </w:r>
      <w:r>
        <w:t>einen Anspruch auf Anpassung des im Los</w:t>
      </w:r>
      <w:r>
        <w:t>- und Preis</w:t>
      </w:r>
      <w:r>
        <w:t>blatt  (E.1) vom Auftragnehmer</w:t>
      </w:r>
      <w:r>
        <w:t>/von der Au</w:t>
      </w:r>
      <w:r>
        <w:t>f</w:t>
      </w:r>
      <w:r>
        <w:t>tragnehmerin</w:t>
      </w:r>
      <w:r>
        <w:t xml:space="preserve"> ausgewiesenen Festpreises. </w:t>
      </w:r>
    </w:p>
    <w:p>
      <w:pPr>
        <w:pStyle w:val="Default"/>
        <w:jc w:val="both"/>
      </w:pPr>
    </w:p>
    <w:p>
      <w:pPr>
        <w:pStyle w:val="Default"/>
        <w:jc w:val="both"/>
      </w:pPr>
    </w:p>
    <w:p>
      <w:pPr>
        <w:pStyle w:val="Default"/>
        <w:jc w:val="both"/>
        <w:rPr>
          <w:b/>
          <w:bCs/>
        </w:rPr>
      </w:pPr>
      <w:r>
        <w:rPr>
          <w:b/>
          <w:bCs/>
        </w:rPr>
        <w:t xml:space="preserve">§ 6 Rechnungslegung </w:t>
      </w:r>
    </w:p>
    <w:p>
      <w:pPr>
        <w:pStyle w:val="Default"/>
        <w:numPr>
          <w:ilvl w:val="0"/>
          <w:numId w:val="5"/>
        </w:numPr>
        <w:ind w:left="426" w:hanging="426"/>
        <w:jc w:val="both"/>
      </w:pPr>
      <w:r>
        <w:t>Die Zahlung erfolgt im Überweisungsverkehr auf ein vom Auftragnehmer</w:t>
      </w:r>
      <w:r>
        <w:t>/von der Auftragnehmerin</w:t>
      </w:r>
      <w:r>
        <w:t xml:space="preserve"> schriftlich zu benennendes Konto. Als Tag der Zahlung gilt der Tag, an welchem der Auftraggeber den Überweisungsauftrag an seine Gelda</w:t>
      </w:r>
      <w:r>
        <w:t>n</w:t>
      </w:r>
      <w:r>
        <w:t xml:space="preserve">stalt erteilt. </w:t>
      </w:r>
    </w:p>
    <w:p>
      <w:pPr>
        <w:pStyle w:val="Default"/>
        <w:ind w:left="426" w:hanging="426"/>
        <w:jc w:val="both"/>
      </w:pPr>
    </w:p>
    <w:p>
      <w:pPr>
        <w:pStyle w:val="Default"/>
        <w:numPr>
          <w:ilvl w:val="0"/>
          <w:numId w:val="5"/>
        </w:numPr>
        <w:ind w:left="426" w:hanging="426"/>
        <w:jc w:val="both"/>
      </w:pPr>
      <w:r>
        <w:t>Die Abtretung von Forderungen an Dritte ist nur mit vorheriger schriftlicher Z</w:t>
      </w:r>
      <w:r>
        <w:t>u</w:t>
      </w:r>
      <w:r>
        <w:t xml:space="preserve">stimmung des </w:t>
      </w:r>
      <w:r>
        <w:t>Auftraggebers</w:t>
      </w:r>
      <w:r>
        <w:t xml:space="preserve"> zulässig. </w:t>
      </w:r>
    </w:p>
    <w:p>
      <w:pPr>
        <w:pStyle w:val="Default"/>
        <w:ind w:left="426" w:hanging="426"/>
        <w:jc w:val="both"/>
      </w:pPr>
    </w:p>
    <w:p>
      <w:pPr>
        <w:pStyle w:val="Default"/>
        <w:numPr>
          <w:ilvl w:val="0"/>
          <w:numId w:val="5"/>
        </w:numPr>
        <w:ind w:left="426" w:hanging="426"/>
        <w:jc w:val="both"/>
      </w:pPr>
      <w:r>
        <w:t>Im Falle der vorzeitigen Vertragsbeendigung steht dem Auftragnehmer</w:t>
      </w:r>
      <w:r>
        <w:t>/der Au</w:t>
      </w:r>
      <w:r>
        <w:t>f</w:t>
      </w:r>
      <w:r>
        <w:t>tragnehmerin</w:t>
      </w:r>
      <w:r>
        <w:t xml:space="preserve"> die Vergütung nur für bis dahin ordnungsgemäß erbrachte Leistu</w:t>
      </w:r>
      <w:r>
        <w:t>n</w:t>
      </w:r>
      <w:r>
        <w:t>gen zu. Ohne Rechtsgrund erlangte Vergütung ist vom Auftragnehmer</w:t>
      </w:r>
      <w:r>
        <w:t>/von der Auftragnehmerin</w:t>
      </w:r>
      <w:r>
        <w:t xml:space="preserve"> zurückzuerstatten. Der Rückerstattungsanspruch ist sofort fällig. Kommt der Auftragnehmer</w:t>
      </w:r>
      <w:r>
        <w:t>/die Auftragnehmerin</w:t>
      </w:r>
      <w:r>
        <w:t xml:space="preserve"> mit der Rückerstattung in Ve</w:t>
      </w:r>
      <w:r>
        <w:t>r</w:t>
      </w:r>
      <w:r>
        <w:t xml:space="preserve">zug, so </w:t>
      </w:r>
      <w:r>
        <w:t>ist der Erstattungsbetrag mit 8</w:t>
      </w:r>
      <w:r>
        <w:t> </w:t>
      </w:r>
      <w:r>
        <w:t>Prozentpunkten über dem geltenden B</w:t>
      </w:r>
      <w:r>
        <w:t>a</w:t>
      </w:r>
      <w:r>
        <w:t xml:space="preserve">siszinssatz der Europäischen Zentralbank zu verzinsen. </w:t>
      </w:r>
    </w:p>
    <w:p>
      <w:pPr>
        <w:pStyle w:val="Default"/>
        <w:ind w:left="426" w:hanging="426"/>
        <w:jc w:val="both"/>
      </w:pPr>
    </w:p>
    <w:p>
      <w:pPr>
        <w:pStyle w:val="Default"/>
        <w:numPr>
          <w:ilvl w:val="0"/>
          <w:numId w:val="5"/>
        </w:numPr>
        <w:ind w:left="426" w:hanging="426"/>
        <w:jc w:val="both"/>
      </w:pPr>
      <w:r>
        <w:t xml:space="preserve">Die Rechnungsstellung hat im Namen der Bietergemeinschaft zu erfolgen und ist vom Bevollmächtigten der Bietergemeinschaft zu unterschreiben. </w:t>
      </w:r>
    </w:p>
    <w:p>
      <w:pPr>
        <w:pStyle w:val="Default"/>
        <w:ind w:left="426"/>
        <w:jc w:val="both"/>
      </w:pPr>
    </w:p>
    <w:p>
      <w:pPr>
        <w:pStyle w:val="Default"/>
        <w:numPr>
          <w:ilvl w:val="0"/>
          <w:numId w:val="5"/>
        </w:numPr>
        <w:ind w:left="426" w:hanging="426"/>
        <w:jc w:val="both"/>
        <w:rPr>
          <w:color w:val="auto"/>
        </w:rPr>
      </w:pPr>
      <w:r>
        <w:rPr>
          <w:color w:val="auto"/>
        </w:rPr>
        <w:t>Der Anspruch auf Vergütung erlisch</w:t>
      </w:r>
      <w:r>
        <w:rPr>
          <w:color w:val="auto"/>
        </w:rPr>
        <w:t>t, wenn er nicht innerhalb von sechs</w:t>
      </w:r>
      <w:r>
        <w:rPr>
          <w:color w:val="auto"/>
        </w:rPr>
        <w:t xml:space="preserve"> Monaten </w:t>
      </w:r>
      <w:r>
        <w:rPr>
          <w:color w:val="auto"/>
        </w:rPr>
        <w:t xml:space="preserve">nach Leistungserbringung im Einzelfall </w:t>
      </w:r>
      <w:r>
        <w:rPr>
          <w:color w:val="auto"/>
        </w:rPr>
        <w:t xml:space="preserve">bei dem Auftraggeber </w:t>
      </w:r>
      <w:r>
        <w:rPr>
          <w:color w:val="auto"/>
        </w:rPr>
        <w:t>schriftlich mit or</w:t>
      </w:r>
      <w:r>
        <w:rPr>
          <w:color w:val="auto"/>
        </w:rPr>
        <w:t>d</w:t>
      </w:r>
      <w:r>
        <w:rPr>
          <w:color w:val="auto"/>
        </w:rPr>
        <w:t xml:space="preserve">nungsgemäßer Rechnungslegung </w:t>
      </w:r>
      <w:r>
        <w:rPr>
          <w:color w:val="auto"/>
        </w:rPr>
        <w:t>geltend gemacht wird.</w:t>
      </w:r>
    </w:p>
    <w:p>
      <w:pPr>
        <w:pStyle w:val="Default"/>
        <w:jc w:val="both"/>
        <w:rPr>
          <w:b/>
          <w:bCs/>
        </w:rPr>
      </w:pPr>
    </w:p>
    <w:p>
      <w:pPr>
        <w:pStyle w:val="Default"/>
        <w:jc w:val="both"/>
        <w:rPr>
          <w:b/>
          <w:bCs/>
        </w:rPr>
      </w:pPr>
    </w:p>
    <w:p>
      <w:pPr>
        <w:pStyle w:val="Default"/>
        <w:jc w:val="both"/>
        <w:rPr>
          <w:b/>
          <w:bCs/>
        </w:rPr>
      </w:pPr>
      <w:r>
        <w:rPr>
          <w:b/>
          <w:bCs/>
        </w:rPr>
        <w:t>§ 7 Haft</w:t>
      </w:r>
      <w:r>
        <w:rPr>
          <w:b/>
          <w:bCs/>
        </w:rPr>
        <w:t>pflichtversicherung des Auftragnehmers/der Auftragnehmerin</w:t>
      </w:r>
    </w:p>
    <w:p>
      <w:pPr>
        <w:pStyle w:val="Default"/>
        <w:jc w:val="both"/>
      </w:pPr>
      <w:r>
        <w:t>Im Fall der Zuschlagserteilung hat der Auftragnehmer/die Auftragnehmerin den Nachweis über den Abschluss einer Berufshaftpflichtversicherung sowie einer Ve</w:t>
      </w:r>
      <w:r>
        <w:t>r</w:t>
      </w:r>
      <w:r>
        <w:t>mögensschadenhaftpflichtversicherung dem Auftraggeber vorzulegen. Hierbei mü</w:t>
      </w:r>
      <w:r>
        <w:t>s</w:t>
      </w:r>
      <w:r>
        <w:t>sen folgende Mindesthöhen der Versicherungssummen bestehen:</w:t>
      </w:r>
      <w:r>
        <w:t xml:space="preserve"> </w:t>
      </w:r>
    </w:p>
    <w:p>
      <w:pPr>
        <w:spacing w:after="120"/>
        <w:rPr>
          <w:rFonts w:cs="Arial"/>
          <w:sz w:val="24"/>
        </w:rPr>
      </w:pPr>
    </w:p>
    <w:p>
      <w:pPr>
        <w:spacing w:after="120"/>
        <w:rPr>
          <w:rFonts w:cs="Arial"/>
          <w:sz w:val="24"/>
        </w:rPr>
      </w:pPr>
      <w:r>
        <w:rPr>
          <w:rFonts w:cs="Arial"/>
          <w:sz w:val="24"/>
        </w:rPr>
        <w:t xml:space="preserve">für Personenschäden </w:t>
      </w:r>
      <w:r>
        <w:rPr>
          <w:rFonts w:cs="Arial"/>
          <w:sz w:val="24"/>
        </w:rPr>
        <w:t>2</w:t>
      </w:r>
      <w:r>
        <w:rPr>
          <w:rFonts w:cs="Arial"/>
          <w:sz w:val="24"/>
        </w:rPr>
        <w:t xml:space="preserve"> Million</w:t>
      </w:r>
      <w:r>
        <w:rPr>
          <w:rFonts w:cs="Arial"/>
          <w:sz w:val="24"/>
        </w:rPr>
        <w:t>en</w:t>
      </w:r>
      <w:r>
        <w:rPr>
          <w:rFonts w:cs="Arial"/>
          <w:sz w:val="24"/>
        </w:rPr>
        <w:t xml:space="preserve"> Euro,</w:t>
      </w:r>
    </w:p>
    <w:p>
      <w:pPr>
        <w:spacing w:after="120"/>
        <w:rPr>
          <w:rFonts w:cs="Arial"/>
          <w:sz w:val="24"/>
        </w:rPr>
      </w:pPr>
      <w:r>
        <w:rPr>
          <w:rFonts w:cs="Arial"/>
          <w:sz w:val="24"/>
        </w:rPr>
        <w:t xml:space="preserve">für Sachschäden </w:t>
      </w:r>
      <w:r>
        <w:rPr>
          <w:rFonts w:cs="Arial"/>
          <w:sz w:val="24"/>
        </w:rPr>
        <w:t>2</w:t>
      </w:r>
      <w:r>
        <w:rPr>
          <w:rFonts w:cs="Arial"/>
          <w:sz w:val="24"/>
        </w:rPr>
        <w:t xml:space="preserve"> Millionen</w:t>
      </w:r>
      <w:r>
        <w:rPr>
          <w:rFonts w:cs="Arial"/>
          <w:sz w:val="24"/>
        </w:rPr>
        <w:t xml:space="preserve"> Euro,</w:t>
      </w:r>
    </w:p>
    <w:p>
      <w:pPr>
        <w:spacing w:after="120"/>
        <w:rPr>
          <w:rFonts w:cs="Arial"/>
          <w:sz w:val="24"/>
        </w:rPr>
      </w:pPr>
      <w:r>
        <w:rPr>
          <w:rFonts w:cs="Arial"/>
          <w:sz w:val="24"/>
        </w:rPr>
        <w:t xml:space="preserve">für reine Vermögensschäden </w:t>
      </w:r>
      <w:r>
        <w:rPr>
          <w:rFonts w:cs="Arial"/>
          <w:sz w:val="24"/>
        </w:rPr>
        <w:t>200</w:t>
      </w:r>
      <w:r>
        <w:rPr>
          <w:rFonts w:cs="Arial"/>
          <w:sz w:val="24"/>
        </w:rPr>
        <w:t>.000 Euro.</w:t>
      </w:r>
    </w:p>
    <w:p>
      <w:pPr>
        <w:pStyle w:val="Default"/>
        <w:jc w:val="both"/>
        <w:rPr>
          <w:b/>
          <w:bCs/>
        </w:rPr>
      </w:pPr>
    </w:p>
    <w:p>
      <w:pPr>
        <w:pStyle w:val="Default"/>
        <w:jc w:val="both"/>
        <w:rPr>
          <w:b/>
          <w:bCs/>
        </w:rPr>
      </w:pPr>
    </w:p>
    <w:p>
      <w:pPr>
        <w:pStyle w:val="Default"/>
        <w:jc w:val="both"/>
        <w:rPr>
          <w:b/>
          <w:bCs/>
        </w:rPr>
      </w:pPr>
      <w:r>
        <w:rPr>
          <w:b/>
          <w:bCs/>
        </w:rPr>
        <w:t>§ 8</w:t>
      </w:r>
      <w:r>
        <w:rPr>
          <w:b/>
          <w:bCs/>
        </w:rPr>
        <w:t xml:space="preserve"> Aufrechnung</w:t>
      </w:r>
    </w:p>
    <w:p>
      <w:pPr>
        <w:pStyle w:val="Default"/>
        <w:jc w:val="both"/>
      </w:pPr>
      <w:r>
        <w:t>Der Auftraggeber ist berechtigt, aus diesem Vertrag resultierende Forderungen g</w:t>
      </w:r>
      <w:r>
        <w:t>e</w:t>
      </w:r>
      <w:r>
        <w:t>gen Forderungen des Auftragnehmers</w:t>
      </w:r>
      <w:r>
        <w:t>/der Auftragnehmerin</w:t>
      </w:r>
      <w:r>
        <w:t>, gleich aus welchem Rechtsgrund, aufzurechnen. Im Falle der Aufrechnung wird der Auftragnehmer</w:t>
      </w:r>
      <w:r>
        <w:t>/die Auftragnehmerin</w:t>
      </w:r>
      <w:r>
        <w:t xml:space="preserve"> hiervon schriftlich benachrichtigt.</w:t>
      </w:r>
    </w:p>
    <w:p>
      <w:pPr>
        <w:pStyle w:val="Default"/>
        <w:jc w:val="both"/>
        <w:rPr>
          <w:b/>
          <w:bCs/>
        </w:rPr>
      </w:pPr>
    </w:p>
    <w:p>
      <w:pPr>
        <w:pStyle w:val="Default"/>
        <w:jc w:val="both"/>
        <w:rPr>
          <w:b/>
          <w:bCs/>
        </w:rPr>
      </w:pPr>
    </w:p>
    <w:p>
      <w:pPr>
        <w:pStyle w:val="Default"/>
        <w:jc w:val="both"/>
        <w:rPr>
          <w:b/>
          <w:bCs/>
        </w:rPr>
      </w:pPr>
      <w:r>
        <w:rPr>
          <w:b/>
          <w:bCs/>
        </w:rPr>
        <w:t>§ 9</w:t>
      </w:r>
      <w:r>
        <w:rPr>
          <w:b/>
          <w:bCs/>
        </w:rPr>
        <w:t xml:space="preserve"> Kündigungsrechte des Auftraggebers</w:t>
      </w:r>
    </w:p>
    <w:p>
      <w:pPr>
        <w:pStyle w:val="Default"/>
        <w:numPr>
          <w:ilvl w:val="0"/>
          <w:numId w:val="9"/>
        </w:numPr>
        <w:jc w:val="both"/>
      </w:pPr>
      <w:r>
        <w:t>Der Auftraggeber ist berechtigt, im Falle der Verletzung wesentlicher Ve</w:t>
      </w:r>
      <w:r>
        <w:t>r</w:t>
      </w:r>
      <w:r>
        <w:t>tragspflichten durch den Auftragnehmer</w:t>
      </w:r>
      <w:r>
        <w:t>/die Auftragnehmerin</w:t>
      </w:r>
      <w:r>
        <w:t xml:space="preserve"> den Vertrag aus wichtigem Grund ohne Einhaltung einer Frist ganz oder teilweise schriftlich zu kündigen. Als wichtiger Grund gelten insbesondere die in § 6 Abs. 5 VOL/A genannten Tatbestände sowie schwerwiegende Verletzungen von Besti</w:t>
      </w:r>
      <w:r>
        <w:t>m</w:t>
      </w:r>
      <w:r>
        <w:t>mungen dieses Ver</w:t>
      </w:r>
      <w:r>
        <w:t>trages und seiner Bestandteile</w:t>
      </w:r>
      <w:r>
        <w:t xml:space="preserve"> oder von Datenschutzvo</w:t>
      </w:r>
      <w:r>
        <w:t>r</w:t>
      </w:r>
      <w:r>
        <w:t>schriften</w:t>
      </w:r>
      <w:r>
        <w:t>.</w:t>
      </w:r>
    </w:p>
    <w:p>
      <w:pPr>
        <w:pStyle w:val="Default"/>
        <w:ind w:left="426" w:hanging="426"/>
        <w:jc w:val="both"/>
      </w:pPr>
    </w:p>
    <w:p>
      <w:pPr>
        <w:pStyle w:val="Default"/>
        <w:numPr>
          <w:ilvl w:val="0"/>
          <w:numId w:val="9"/>
        </w:numPr>
        <w:ind w:left="426" w:hanging="426"/>
        <w:jc w:val="both"/>
      </w:pPr>
      <w:r>
        <w:t>Für den Fall, dass der Auftragnehmer</w:t>
      </w:r>
      <w:r>
        <w:t>/die Auftragnehmerin</w:t>
      </w:r>
      <w:r>
        <w:t xml:space="preserve"> trotz Mahnung se</w:t>
      </w:r>
      <w:r>
        <w:t>i</w:t>
      </w:r>
      <w:r>
        <w:t>nen</w:t>
      </w:r>
      <w:r>
        <w:t>/ihren</w:t>
      </w:r>
      <w:r>
        <w:t xml:space="preserve"> vertraglichen Pflichten innerhalb angemessener Frist nicht nachkommt, kann der Auftraggeber diesen Vertrag ebenfalls mit sofortiger Wirkung ganz oder teilweise schriftlich kündigen. </w:t>
      </w:r>
    </w:p>
    <w:p>
      <w:pPr>
        <w:pStyle w:val="Default"/>
        <w:ind w:left="426" w:hanging="426"/>
        <w:jc w:val="both"/>
      </w:pPr>
    </w:p>
    <w:p>
      <w:pPr>
        <w:pStyle w:val="Default"/>
        <w:numPr>
          <w:ilvl w:val="0"/>
          <w:numId w:val="9"/>
        </w:numPr>
        <w:ind w:left="426" w:hanging="426"/>
        <w:jc w:val="both"/>
      </w:pPr>
      <w:r>
        <w:t xml:space="preserve">Ändern sich die für die </w:t>
      </w:r>
      <w:r>
        <w:t>Dienstleistung</w:t>
      </w:r>
      <w:r>
        <w:t xml:space="preserve"> maßgeblichen gesetzlichen Bestimmu</w:t>
      </w:r>
      <w:r>
        <w:t>n</w:t>
      </w:r>
      <w:r>
        <w:t>gen, kann der Auftraggeber mit einer Frist von sechs Wochen zu dem Inkrafttr</w:t>
      </w:r>
      <w:r>
        <w:t>e</w:t>
      </w:r>
      <w:r>
        <w:t>ten der Rechtsänderung folgenden Quartalsende diesen Vertrag schriftlich kü</w:t>
      </w:r>
      <w:r>
        <w:t>n</w:t>
      </w:r>
      <w:r>
        <w:t>digen. Das Recht zur außerordentlichen Kündigung wegen Nichteinhaltung des Vertrages bleibt davon unberührt.</w:t>
      </w:r>
    </w:p>
    <w:p>
      <w:pPr>
        <w:pStyle w:val="Listenabsatz"/>
        <w:rPr>
          <w:rFonts w:cs="Arial"/>
          <w:sz w:val="24"/>
        </w:rPr>
      </w:pPr>
    </w:p>
    <w:p>
      <w:pPr>
        <w:pStyle w:val="Default"/>
        <w:numPr>
          <w:ilvl w:val="0"/>
          <w:numId w:val="9"/>
        </w:numPr>
        <w:ind w:left="426" w:hanging="426"/>
        <w:jc w:val="both"/>
      </w:pPr>
      <w:r>
        <w:t>Die Kündigung des Auftraggebers beeinträchtigt nicht die Geltendmachung eines Schadensersatzanspruches.</w:t>
      </w:r>
    </w:p>
    <w:p>
      <w:pPr>
        <w:pStyle w:val="Default"/>
        <w:jc w:val="both"/>
      </w:pPr>
    </w:p>
    <w:p>
      <w:pPr>
        <w:pStyle w:val="Default"/>
        <w:jc w:val="both"/>
      </w:pPr>
    </w:p>
    <w:p>
      <w:pPr>
        <w:pStyle w:val="Default"/>
        <w:jc w:val="both"/>
        <w:rPr>
          <w:b/>
          <w:bCs/>
        </w:rPr>
      </w:pPr>
      <w:r>
        <w:rPr>
          <w:b/>
          <w:bCs/>
        </w:rPr>
        <w:t>§ 1</w:t>
      </w:r>
      <w:r>
        <w:rPr>
          <w:b/>
          <w:bCs/>
        </w:rPr>
        <w:t>0</w:t>
      </w:r>
      <w:r>
        <w:rPr>
          <w:b/>
          <w:bCs/>
        </w:rPr>
        <w:t xml:space="preserve"> Datenschutz </w:t>
      </w:r>
    </w:p>
    <w:p>
      <w:pPr>
        <w:pStyle w:val="Default"/>
        <w:numPr>
          <w:ilvl w:val="0"/>
          <w:numId w:val="27"/>
        </w:numPr>
        <w:jc w:val="both"/>
      </w:pPr>
      <w:r>
        <w:t>Der Auftragnehmer/Die Auftragnehmerin verpflichtet sich, alle ihm/ihr zur Kenn</w:t>
      </w:r>
      <w:r>
        <w:t>t</w:t>
      </w:r>
      <w:r>
        <w:t>nis gelangenden internen Angelegenheiten des Auftraggebers auch nach Bee</w:t>
      </w:r>
      <w:r>
        <w:t>n</w:t>
      </w:r>
      <w:r>
        <w:t>digung dieses Vertrages vertraulich zu behandeln.</w:t>
      </w:r>
    </w:p>
    <w:p>
      <w:pPr>
        <w:pStyle w:val="Default"/>
        <w:ind w:left="420"/>
        <w:jc w:val="both"/>
      </w:pPr>
    </w:p>
    <w:p>
      <w:pPr>
        <w:pStyle w:val="Default"/>
        <w:numPr>
          <w:ilvl w:val="0"/>
          <w:numId w:val="27"/>
        </w:numPr>
        <w:jc w:val="both"/>
      </w:pPr>
      <w:r>
        <w:t>Der Auftragnehmer/Die Auftragnehmerin verpflichtet sich, bei der Durchführung des Auftrags das Datengeheimnis gemäß § 6 DSG (NRW) zu wahren. Er/Sie verpflichtet sich weiter, über Informationen und persönliche Daten, die ihm/ihr im Rahmen des Auftrags zur Kenntnis gelangen, gegenüber Dritten Verschwiege</w:t>
      </w:r>
      <w:r>
        <w:t>n</w:t>
      </w:r>
      <w:r>
        <w:t>heit zu wahren. Die Verschwiegenheitspflicht besteht auch nach Beendigung di</w:t>
      </w:r>
      <w:r>
        <w:t>e</w:t>
      </w:r>
      <w:r>
        <w:t>ses Vertrages weiter.</w:t>
      </w:r>
    </w:p>
    <w:p>
      <w:pPr>
        <w:pStyle w:val="Listenabsatz"/>
      </w:pPr>
    </w:p>
    <w:p>
      <w:pPr>
        <w:pStyle w:val="Default"/>
        <w:numPr>
          <w:ilvl w:val="0"/>
          <w:numId w:val="27"/>
        </w:numPr>
        <w:jc w:val="both"/>
      </w:pPr>
      <w:r>
        <w:t>Der Auftragnehmer/Die Auftragnehmerin sichert zu, dass er/sie die bei der Durchführung des Auftrags beschäftigten Mitarbeiter/Mitarbeiterinnen vor Au</w:t>
      </w:r>
      <w:r>
        <w:t>f</w:t>
      </w:r>
      <w:r>
        <w:t>nahme der Tätigkeit auf das Datengeheimnis gemäß § 6 DSG (NRW) schriftlich verpflichtet. Zu diesem Zweck ist das als Anlage beigefügte Dokument „Verpflic</w:t>
      </w:r>
      <w:r>
        <w:t>h</w:t>
      </w:r>
      <w:r>
        <w:t>tung auf das Datengeheimnis“ zu verwenden. Die unterschriebenen Verpflic</w:t>
      </w:r>
      <w:r>
        <w:t>h</w:t>
      </w:r>
      <w:r>
        <w:t>tungserklärungen sind zu Kontrollzwecken vorzuhalten.</w:t>
      </w:r>
    </w:p>
    <w:p>
      <w:pPr>
        <w:pStyle w:val="Listenabsatz"/>
      </w:pPr>
    </w:p>
    <w:p>
      <w:pPr>
        <w:pStyle w:val="Default"/>
        <w:numPr>
          <w:ilvl w:val="0"/>
          <w:numId w:val="27"/>
        </w:numPr>
        <w:jc w:val="both"/>
      </w:pPr>
      <w:r>
        <w:t>Der Auftragnehmer/Die Auftragnehmerin erklärt sich damit einverstanden, dass der Auftraggeber - grundsätzlich nach Terminvereinbarung - berechtigt ist, die Einhaltung der Vorschriften über den Datenschutz sowie der vertraglichen Ve</w:t>
      </w:r>
      <w:r>
        <w:t>r</w:t>
      </w:r>
      <w:r>
        <w:t>einbarungen im angemessenen und erforderlichen Umfang  durch den Date</w:t>
      </w:r>
      <w:r>
        <w:t>n</w:t>
      </w:r>
      <w:r>
        <w:t>schutzbeauftragten des Auftraggebers zu kontrollieren, insbesondere durch die Einholung von Auskünften und die Einsichtnahme in die gespeicherten und den Auftrag betreffenden Unterlagen. Zu diesem Zweck verpflichtet sich der Auftra</w:t>
      </w:r>
      <w:r>
        <w:t>g</w:t>
      </w:r>
      <w:r>
        <w:t>nehmer/die Auftragnehmerin, dem Datenschutzbeauftragten des Auftraggebers Zugang zu seinen/ihren Grundstücken und Betriebsräumen während der übl</w:t>
      </w:r>
      <w:r>
        <w:t>i</w:t>
      </w:r>
      <w:r>
        <w:t>chen Geschäftszeiten zu gewähren.</w:t>
      </w:r>
    </w:p>
    <w:p>
      <w:pPr>
        <w:pStyle w:val="Listenabsatz"/>
      </w:pPr>
    </w:p>
    <w:p>
      <w:pPr>
        <w:pStyle w:val="Default"/>
        <w:jc w:val="both"/>
      </w:pPr>
    </w:p>
    <w:p>
      <w:pPr>
        <w:pStyle w:val="Default"/>
        <w:jc w:val="both"/>
        <w:rPr>
          <w:b/>
          <w:bCs/>
        </w:rPr>
      </w:pPr>
      <w:r>
        <w:rPr>
          <w:b/>
          <w:bCs/>
        </w:rPr>
        <w:t>§ 1</w:t>
      </w:r>
      <w:r>
        <w:rPr>
          <w:b/>
          <w:bCs/>
        </w:rPr>
        <w:t>1</w:t>
      </w:r>
      <w:r>
        <w:rPr>
          <w:b/>
          <w:bCs/>
        </w:rPr>
        <w:t xml:space="preserve"> Allgemeines Gleichbehandlungsgesetz </w:t>
      </w:r>
    </w:p>
    <w:p>
      <w:pPr>
        <w:pStyle w:val="Default"/>
        <w:jc w:val="both"/>
      </w:pPr>
      <w:r>
        <w:t>Der Auftragnehmer</w:t>
      </w:r>
      <w:r>
        <w:t>/Die Auftragnehmerin</w:t>
      </w:r>
      <w:r>
        <w:t xml:space="preserve"> ist verpflichtet, das Allgemeine Gleichb</w:t>
      </w:r>
      <w:r>
        <w:t>e</w:t>
      </w:r>
      <w:r>
        <w:t>handlungsgesetz (AGG) zu beachten. Danach sind Benachteiligungen aus Gründen der Rasse oder wegen der ethnischen Herkunft, des Geschlechts, der Religion oder Weltanschauung, einer Behinderung, des Alters oder der sexuellen Identität grun</w:t>
      </w:r>
      <w:r>
        <w:t>d</w:t>
      </w:r>
      <w:r>
        <w:t xml:space="preserve">sätzlich unzulässig. </w:t>
      </w:r>
    </w:p>
    <w:p>
      <w:pPr>
        <w:pStyle w:val="Default"/>
        <w:jc w:val="both"/>
        <w:rPr>
          <w:b/>
        </w:rPr>
      </w:pPr>
    </w:p>
    <w:p>
      <w:pPr>
        <w:pStyle w:val="Default"/>
        <w:jc w:val="both"/>
        <w:rPr>
          <w:b/>
        </w:rPr>
      </w:pPr>
    </w:p>
    <w:p>
      <w:pPr>
        <w:pStyle w:val="Default"/>
        <w:jc w:val="both"/>
        <w:rPr>
          <w:b/>
        </w:rPr>
      </w:pPr>
      <w:r>
        <w:rPr>
          <w:b/>
        </w:rPr>
        <w:t>§ 1</w:t>
      </w:r>
      <w:r>
        <w:rPr>
          <w:b/>
        </w:rPr>
        <w:t>2</w:t>
      </w:r>
      <w:r>
        <w:rPr>
          <w:b/>
        </w:rPr>
        <w:t xml:space="preserve"> Rücktritt und Antikorruptionsklausel</w:t>
      </w:r>
    </w:p>
    <w:p>
      <w:pPr>
        <w:pStyle w:val="Default"/>
        <w:numPr>
          <w:ilvl w:val="0"/>
          <w:numId w:val="12"/>
        </w:numPr>
        <w:ind w:left="426" w:hanging="426"/>
        <w:jc w:val="both"/>
      </w:pPr>
      <w:r>
        <w:t xml:space="preserve">Ausschlussgründe im Sinne von § 6 Abs. 5 Buchst. c bis e VOL/A berechtigen den Auftraggeber zum Rücktritt vom Vertrag. Diese sind: </w:t>
      </w:r>
    </w:p>
    <w:p>
      <w:pPr>
        <w:pStyle w:val="Default"/>
        <w:ind w:left="720"/>
        <w:jc w:val="both"/>
      </w:pPr>
    </w:p>
    <w:p>
      <w:pPr>
        <w:pStyle w:val="Default"/>
        <w:numPr>
          <w:ilvl w:val="1"/>
          <w:numId w:val="8"/>
        </w:numPr>
        <w:ind w:left="851" w:hanging="425"/>
        <w:jc w:val="both"/>
      </w:pPr>
      <w:r>
        <w:t>die Unzuverlässigkeit von Unternehmen wegen einer nachweislichen schw</w:t>
      </w:r>
      <w:r>
        <w:t>e</w:t>
      </w:r>
      <w:r>
        <w:t>ren Verfehlung (z.B. Vorteilsgewährung § 333 StGB, Bestechung § 334 StGB) oder ähnlichen Handlungen außerhalb korrekter geschäftlicher G</w:t>
      </w:r>
      <w:r>
        <w:t>e</w:t>
      </w:r>
      <w:r>
        <w:t xml:space="preserve">pflogenheiten, </w:t>
      </w:r>
    </w:p>
    <w:p>
      <w:pPr>
        <w:pStyle w:val="Default"/>
        <w:ind w:left="851" w:hanging="425"/>
        <w:jc w:val="both"/>
      </w:pPr>
    </w:p>
    <w:p>
      <w:pPr>
        <w:pStyle w:val="Default"/>
        <w:numPr>
          <w:ilvl w:val="1"/>
          <w:numId w:val="8"/>
        </w:numPr>
        <w:ind w:left="851" w:hanging="425"/>
        <w:jc w:val="both"/>
      </w:pPr>
      <w:r>
        <w:t>die nicht ordnungsgemäße Erfüllung der Verpflichtung zur Zahlung von Ste</w:t>
      </w:r>
      <w:r>
        <w:t>u</w:t>
      </w:r>
      <w:r>
        <w:t xml:space="preserve">ern und Abgaben sowie der Beiträge zur gesetzlichen Sozialversicherung, </w:t>
      </w:r>
    </w:p>
    <w:p>
      <w:pPr>
        <w:pStyle w:val="Default"/>
        <w:ind w:left="851" w:hanging="425"/>
        <w:jc w:val="both"/>
      </w:pPr>
    </w:p>
    <w:p>
      <w:pPr>
        <w:pStyle w:val="Default"/>
        <w:numPr>
          <w:ilvl w:val="1"/>
          <w:numId w:val="8"/>
        </w:numPr>
        <w:ind w:left="851" w:hanging="425"/>
        <w:jc w:val="both"/>
      </w:pPr>
      <w:r>
        <w:t xml:space="preserve">die Abgabe von unzutreffenden Erklärungen in Bezug auf die Eignung im Vergabeverfahren. </w:t>
      </w:r>
    </w:p>
    <w:p>
      <w:pPr>
        <w:pStyle w:val="Default"/>
        <w:jc w:val="both"/>
      </w:pPr>
    </w:p>
    <w:p>
      <w:pPr>
        <w:pStyle w:val="Default"/>
        <w:numPr>
          <w:ilvl w:val="0"/>
          <w:numId w:val="12"/>
        </w:numPr>
        <w:ind w:left="426" w:hanging="437"/>
        <w:jc w:val="both"/>
      </w:pPr>
      <w:r>
        <w:t>Ein Ausschlussgrund nach Abs. 1 ist auch die Abgabe von Angeboten, die auf wettbewerbsbeschränkenden Absprachen im Sinne von § 298 StGB beruhen, die Beteiligung an unzulässigen Wettbewerbsbeschränkungen im Sinne des Gese</w:t>
      </w:r>
      <w:r>
        <w:t>t</w:t>
      </w:r>
      <w:r>
        <w:t>zes gegen Wettbewerbsbeschränkungen (GWB), insbesondere eine Vereinb</w:t>
      </w:r>
      <w:r>
        <w:t>a</w:t>
      </w:r>
      <w:r>
        <w:t>rung mit Dritten über die Abgabe oder Nichtabgabe von Angeboten, über zu fo</w:t>
      </w:r>
      <w:r>
        <w:t>r</w:t>
      </w:r>
      <w:r>
        <w:t>dernde Preise, über die Entrichtung einer Ausfallentschädigung (Gewinnbeteil</w:t>
      </w:r>
      <w:r>
        <w:t>i</w:t>
      </w:r>
      <w:r>
        <w:t xml:space="preserve">gung oder sonstige Abgaben) und über die Festlegung von Preisempfehlungen. </w:t>
      </w:r>
    </w:p>
    <w:p>
      <w:pPr>
        <w:pStyle w:val="Default"/>
        <w:ind w:left="426" w:hanging="437"/>
        <w:jc w:val="both"/>
      </w:pPr>
    </w:p>
    <w:p>
      <w:pPr>
        <w:pStyle w:val="Default"/>
        <w:numPr>
          <w:ilvl w:val="0"/>
          <w:numId w:val="12"/>
        </w:numPr>
        <w:ind w:left="426" w:hanging="437"/>
        <w:jc w:val="both"/>
      </w:pPr>
      <w:r>
        <w:t>Der Auftragnehmer</w:t>
      </w:r>
      <w:r>
        <w:t>/Die Auftragnehmerin</w:t>
      </w:r>
      <w:r>
        <w:t xml:space="preserve"> hat dem Auftraggeber alle Schäden zu ersetzen, die dem Auftraggeber unmittelbar oder mittelbar durch den Rücktritt vom Vertrag entstehen. </w:t>
      </w:r>
    </w:p>
    <w:p>
      <w:pPr>
        <w:pStyle w:val="Listenabsatz"/>
      </w:pPr>
    </w:p>
    <w:p>
      <w:pPr>
        <w:pStyle w:val="Default"/>
        <w:numPr>
          <w:ilvl w:val="0"/>
          <w:numId w:val="12"/>
        </w:numPr>
        <w:ind w:left="426" w:hanging="437"/>
        <w:jc w:val="both"/>
      </w:pPr>
      <w:r>
        <w:t>Liegt ein Ausschlussgrund nach § 6 Abs. 5 Buchst. c VOL/A vor, weil der Au</w:t>
      </w:r>
      <w:r>
        <w:t>f</w:t>
      </w:r>
      <w:r>
        <w:t>tragnehmer</w:t>
      </w:r>
      <w:r>
        <w:t>/die Auftragnehmerin</w:t>
      </w:r>
      <w:r>
        <w:t xml:space="preserve"> nachweislich eine schwere Verfehlung (Vo</w:t>
      </w:r>
      <w:r>
        <w:t>r</w:t>
      </w:r>
      <w:r>
        <w:t>teilsgewährung § 333 StGB oder Bestechung §</w:t>
      </w:r>
      <w:r>
        <w:t> </w:t>
      </w:r>
      <w:r>
        <w:t>334</w:t>
      </w:r>
      <w:r>
        <w:t> </w:t>
      </w:r>
      <w:r>
        <w:t>StGB) oder eine vergleichb</w:t>
      </w:r>
      <w:r>
        <w:t>a</w:t>
      </w:r>
      <w:r>
        <w:t>re nachweisbare Verfehlung außerhalb redlicher geschäftlicher Gepflogenheit begangen hat, hat der Auftragnehmer</w:t>
      </w:r>
      <w:r>
        <w:t>/die Auftragnehmerin</w:t>
      </w:r>
      <w:r>
        <w:t xml:space="preserve"> an den Auftraggeber für jede Verfehlung eine Vertragsstrafe zu zahlen, unabhängig davon, ob der Au</w:t>
      </w:r>
      <w:r>
        <w:t>f</w:t>
      </w:r>
      <w:r>
        <w:t>traggeber sein Recht auf Rücktritt vom Vertrag ausübt oder nicht. Die Höhe der Vertragsstrafe beträgt das 50-fache des Wertes der angebotenen oder gewäh</w:t>
      </w:r>
      <w:r>
        <w:t>r</w:t>
      </w:r>
      <w:r>
        <w:t>ten Geschenke oder sonstigen Vorteil</w:t>
      </w:r>
      <w:r>
        <w:t>e.</w:t>
      </w:r>
    </w:p>
    <w:p>
      <w:pPr>
        <w:pStyle w:val="Default"/>
        <w:jc w:val="both"/>
      </w:pPr>
    </w:p>
    <w:p>
      <w:pPr>
        <w:pStyle w:val="Default"/>
        <w:numPr>
          <w:ilvl w:val="0"/>
          <w:numId w:val="12"/>
        </w:numPr>
        <w:ind w:left="426" w:hanging="426"/>
        <w:jc w:val="both"/>
      </w:pPr>
      <w:r>
        <w:t xml:space="preserve">Weitergehende Schadensersatzansprüche des Auftraggebers bleiben unberührt. </w:t>
      </w:r>
    </w:p>
    <w:p>
      <w:pPr>
        <w:pStyle w:val="Default"/>
        <w:jc w:val="both"/>
        <w:rPr>
          <w:b/>
          <w:bCs/>
        </w:rPr>
      </w:pPr>
    </w:p>
    <w:p>
      <w:pPr>
        <w:pStyle w:val="Default"/>
        <w:jc w:val="both"/>
        <w:rPr>
          <w:b/>
          <w:bCs/>
        </w:rPr>
      </w:pPr>
    </w:p>
    <w:p>
      <w:pPr>
        <w:pStyle w:val="Default"/>
        <w:jc w:val="both"/>
        <w:rPr>
          <w:b/>
          <w:bCs/>
        </w:rPr>
      </w:pPr>
      <w:r>
        <w:rPr>
          <w:b/>
          <w:bCs/>
        </w:rPr>
        <w:t>§ 1</w:t>
      </w:r>
      <w:r>
        <w:rPr>
          <w:b/>
          <w:bCs/>
        </w:rPr>
        <w:t>3</w:t>
      </w:r>
      <w:r>
        <w:rPr>
          <w:b/>
          <w:bCs/>
        </w:rPr>
        <w:t xml:space="preserve"> Informationspflichten und Prüfrecht </w:t>
      </w:r>
    </w:p>
    <w:p>
      <w:pPr>
        <w:pStyle w:val="Default"/>
        <w:jc w:val="both"/>
      </w:pPr>
      <w:r>
        <w:t>Der Auftraggeber hat das Recht, die Einhaltung der vertraglichen Vereinbarungen sowie die Beachtung der gesetzlichen Bestimmungen durch den Auftragnehmer</w:t>
      </w:r>
      <w:r>
        <w:t>/die Auftragnehmerin</w:t>
      </w:r>
      <w:r>
        <w:t xml:space="preserve"> zu prüfen und entsprechende Informationen beim Auftragne</w:t>
      </w:r>
      <w:r>
        <w:t>h</w:t>
      </w:r>
      <w:r>
        <w:t>mer</w:t>
      </w:r>
      <w:r>
        <w:t>/bei der Auftragnehmerin</w:t>
      </w:r>
      <w:r>
        <w:t xml:space="preserve"> einzuholen. Der Auftragnehmer</w:t>
      </w:r>
      <w:r>
        <w:t>/</w:t>
      </w:r>
      <w:r>
        <w:t>Die Auftragnehmerin</w:t>
      </w:r>
      <w:r>
        <w:t xml:space="preserve"> erteilt zu diesem Zweck unverzüglich alle erbetenen Auskünfte, gewährt, soweit e</w:t>
      </w:r>
      <w:r>
        <w:t>r</w:t>
      </w:r>
      <w:r>
        <w:t>forderlich und keine Betriebsgeheimnisse verletzt werden, Einsicht in alle den Auftrag betreffenden Unterlagen einschließlich gespeicherter Daten, fertigt auf Wunsch des Auftraggebers Fotokopien der erforderlichen Unterlagen an und gestattet den Zutritt zu seinen</w:t>
      </w:r>
      <w:r>
        <w:t>/ihren</w:t>
      </w:r>
      <w:r>
        <w:t xml:space="preserve"> Grundstücken und Betriebsräumen während der üblichen Geschäft</w:t>
      </w:r>
      <w:r>
        <w:t>s</w:t>
      </w:r>
      <w:r>
        <w:t>zeiten.</w:t>
      </w:r>
      <w:r>
        <w:t xml:space="preserve"> Der Auftraggeber ist nicht verpflichtet, diese Überprüfungen vorab anzukünd</w:t>
      </w:r>
      <w:r>
        <w:t>i</w:t>
      </w:r>
      <w:r>
        <w:t>gen.</w:t>
      </w:r>
      <w:r>
        <w:t xml:space="preserve"> Die vorstehenden Rechte stehen neben den auftragsspezifischen Fachbere</w:t>
      </w:r>
      <w:r>
        <w:t>i</w:t>
      </w:r>
      <w:r>
        <w:t>chen des Auftraggebers auch der I</w:t>
      </w:r>
      <w:r>
        <w:t xml:space="preserve">nnenrevision </w:t>
      </w:r>
      <w:r>
        <w:t xml:space="preserve">und dem Datenschutzbeauftragten </w:t>
      </w:r>
      <w:r>
        <w:t>des Auftraggebers sowie dem Bundes</w:t>
      </w:r>
      <w:r>
        <w:t>- und Landes</w:t>
      </w:r>
      <w:r>
        <w:t xml:space="preserve">rechnungshof zu. </w:t>
      </w:r>
    </w:p>
    <w:p>
      <w:pPr>
        <w:pStyle w:val="Default"/>
        <w:jc w:val="both"/>
      </w:pPr>
    </w:p>
    <w:p>
      <w:pPr>
        <w:pStyle w:val="Default"/>
        <w:jc w:val="both"/>
      </w:pPr>
    </w:p>
    <w:p>
      <w:pPr>
        <w:pStyle w:val="Default"/>
        <w:jc w:val="both"/>
        <w:rPr>
          <w:b/>
          <w:bCs/>
        </w:rPr>
      </w:pPr>
      <w:r>
        <w:rPr>
          <w:b/>
          <w:bCs/>
        </w:rPr>
        <w:t>§ 1</w:t>
      </w:r>
      <w:r>
        <w:rPr>
          <w:b/>
          <w:bCs/>
        </w:rPr>
        <w:t>4</w:t>
      </w:r>
      <w:r>
        <w:rPr>
          <w:b/>
          <w:bCs/>
        </w:rPr>
        <w:t xml:space="preserve"> Beauftragung von Subunternehmern </w:t>
      </w:r>
    </w:p>
    <w:p>
      <w:pPr>
        <w:pStyle w:val="Default"/>
        <w:jc w:val="both"/>
      </w:pPr>
      <w:r>
        <w:t>Die</w:t>
      </w:r>
      <w:r>
        <w:t xml:space="preserve"> Beauftragung von Subunternehmern </w:t>
      </w:r>
      <w:r>
        <w:t xml:space="preserve">durch den </w:t>
      </w:r>
      <w:r>
        <w:t>Auftragnehmer</w:t>
      </w:r>
      <w:r>
        <w:t>/die Auftragne</w:t>
      </w:r>
      <w:r>
        <w:t>h</w:t>
      </w:r>
      <w:r>
        <w:t>merin ist nicht zulässig.</w:t>
      </w:r>
      <w:r>
        <w:t xml:space="preserve"> </w:t>
      </w:r>
    </w:p>
    <w:p>
      <w:pPr>
        <w:pStyle w:val="Default"/>
        <w:jc w:val="both"/>
        <w:rPr>
          <w:b/>
          <w:bCs/>
        </w:rPr>
      </w:pPr>
    </w:p>
    <w:p>
      <w:pPr>
        <w:pStyle w:val="Default"/>
        <w:jc w:val="both"/>
        <w:rPr>
          <w:b/>
          <w:bCs/>
        </w:rPr>
      </w:pPr>
    </w:p>
    <w:p>
      <w:pPr>
        <w:pStyle w:val="Default"/>
        <w:jc w:val="both"/>
        <w:rPr>
          <w:b/>
          <w:bCs/>
        </w:rPr>
      </w:pPr>
      <w:r>
        <w:rPr>
          <w:b/>
          <w:bCs/>
        </w:rPr>
        <w:t>§ 1</w:t>
      </w:r>
      <w:r>
        <w:rPr>
          <w:b/>
          <w:bCs/>
        </w:rPr>
        <w:t>5</w:t>
      </w:r>
      <w:r>
        <w:rPr>
          <w:b/>
          <w:bCs/>
        </w:rPr>
        <w:t xml:space="preserve"> Presse- und Öffentlichkeitsarbeit </w:t>
      </w:r>
    </w:p>
    <w:p>
      <w:pPr>
        <w:pStyle w:val="Default"/>
        <w:jc w:val="both"/>
      </w:pPr>
      <w:r>
        <w:t>Der Auftragnehmer</w:t>
      </w:r>
      <w:r>
        <w:t>/Die Auftragnehmerin</w:t>
      </w:r>
      <w:r>
        <w:t xml:space="preserve"> verpflichtet sich, die Presse- und Öffentlic</w:t>
      </w:r>
      <w:r>
        <w:t>h</w:t>
      </w:r>
      <w:r>
        <w:t>keitsarbeit, die Nutzung des geschützten Logos und Namens des Auftraggebers s</w:t>
      </w:r>
      <w:r>
        <w:t>o</w:t>
      </w:r>
      <w:r>
        <w:t>wie für Dritte bestimmte Informationen und Berichte rechtzeitig vorher mit dem Au</w:t>
      </w:r>
      <w:r>
        <w:t>f</w:t>
      </w:r>
      <w:r>
        <w:t xml:space="preserve">traggeber abzustimmen. </w:t>
      </w:r>
    </w:p>
    <w:p>
      <w:pPr>
        <w:pStyle w:val="Default"/>
        <w:jc w:val="both"/>
      </w:pPr>
    </w:p>
    <w:p>
      <w:pPr>
        <w:pStyle w:val="Default"/>
        <w:jc w:val="both"/>
      </w:pPr>
    </w:p>
    <w:p>
      <w:pPr>
        <w:pStyle w:val="Default"/>
        <w:jc w:val="both"/>
      </w:pPr>
      <w:r>
        <w:rPr>
          <w:b/>
          <w:bCs/>
        </w:rPr>
        <w:t xml:space="preserve">§ </w:t>
      </w:r>
      <w:r>
        <w:rPr>
          <w:b/>
          <w:bCs/>
        </w:rPr>
        <w:t>16</w:t>
      </w:r>
      <w:r>
        <w:rPr>
          <w:b/>
          <w:bCs/>
        </w:rPr>
        <w:t xml:space="preserve"> Regelungen zur Vergütung und Zahlungsweise </w:t>
      </w:r>
    </w:p>
    <w:p>
      <w:pPr>
        <w:pStyle w:val="Default"/>
        <w:numPr>
          <w:ilvl w:val="0"/>
          <w:numId w:val="20"/>
        </w:numPr>
        <w:jc w:val="both"/>
        <w:rPr>
          <w:color w:val="auto"/>
        </w:rPr>
      </w:pPr>
      <w:r>
        <w:t>Der Auftragnehmer/Die Auftragnehmerin erhält für die Durchführung der Dienstleistung eine Vergütung. Sie besteht aus einer Stundenpauschale je A</w:t>
      </w:r>
      <w:r>
        <w:t>r</w:t>
      </w:r>
      <w:r>
        <w:t xml:space="preserve">beitsstunde. </w:t>
      </w:r>
    </w:p>
    <w:p>
      <w:pPr>
        <w:pStyle w:val="Default"/>
        <w:ind w:left="720"/>
        <w:jc w:val="both"/>
        <w:rPr>
          <w:color w:val="auto"/>
        </w:rPr>
      </w:pPr>
    </w:p>
    <w:p>
      <w:pPr>
        <w:pStyle w:val="Default"/>
        <w:numPr>
          <w:ilvl w:val="0"/>
          <w:numId w:val="20"/>
        </w:numPr>
        <w:jc w:val="both"/>
      </w:pPr>
      <w:r>
        <w:rPr>
          <w:color w:val="auto"/>
        </w:rPr>
        <w:t>Der Auftragnehmer/Die Auftragnehmerin erstellt zum Ende eines Monats eine Aufstellung der geleisteten Stunden. Dieser Aufstellung müssen die entspr</w:t>
      </w:r>
      <w:r>
        <w:rPr>
          <w:color w:val="auto"/>
        </w:rPr>
        <w:t>e</w:t>
      </w:r>
      <w:r>
        <w:rPr>
          <w:color w:val="auto"/>
        </w:rPr>
        <w:t>chenden gegengezeichneten Belege der Verwaltungseinheit (siehe Lei</w:t>
      </w:r>
      <w:r>
        <w:rPr>
          <w:color w:val="auto"/>
        </w:rPr>
        <w:t>s</w:t>
      </w:r>
      <w:r>
        <w:rPr>
          <w:color w:val="auto"/>
        </w:rPr>
        <w:t>tungsbeschreibung) beigefügt werden. Aufgrund der Auflistung erstellt der Au</w:t>
      </w:r>
      <w:r>
        <w:rPr>
          <w:color w:val="auto"/>
        </w:rPr>
        <w:t>f</w:t>
      </w:r>
      <w:r>
        <w:rPr>
          <w:color w:val="auto"/>
        </w:rPr>
        <w:t>tragnehmer/die Auftragnehmerin eine Rechnung. Der Rechnungsbetrag ist e</w:t>
      </w:r>
      <w:r>
        <w:rPr>
          <w:color w:val="auto"/>
        </w:rPr>
        <w:t>i</w:t>
      </w:r>
      <w:r>
        <w:rPr>
          <w:color w:val="auto"/>
        </w:rPr>
        <w:t>nen Monat nach Zugang beim Auftraggeber fällig.</w:t>
      </w:r>
    </w:p>
    <w:p>
      <w:pPr>
        <w:pStyle w:val="Listenabsatz"/>
      </w:pPr>
    </w:p>
    <w:p>
      <w:pPr>
        <w:pStyle w:val="Default"/>
        <w:numPr>
          <w:ilvl w:val="0"/>
          <w:numId w:val="20"/>
        </w:numPr>
        <w:jc w:val="both"/>
      </w:pPr>
      <w:r>
        <w:t xml:space="preserve">Zwischen den Parteien gilt als vereinbart, dass jeweils zum </w:t>
      </w:r>
      <w:r>
        <w:t>24</w:t>
      </w:r>
      <w:r>
        <w:t>.</w:t>
      </w:r>
      <w:r>
        <w:t>0</w:t>
      </w:r>
      <w:r>
        <w:t>3</w:t>
      </w:r>
      <w:r>
        <w:t>. eines Ja</w:t>
      </w:r>
      <w:r>
        <w:t>h</w:t>
      </w:r>
      <w:r>
        <w:t>res eine Anpassung des vereinbarten Preises laut Los- und Preisblatt (E.1) vorgenommen wird. Der vereinbarte Stundensatz wird jährlich entsprechend der vom Statistischen Bundesamt Deutschland im Jahresdurchschnitt des vorhergehenden Kalenderjahres erhobenen Veränderung des Verbrauche</w:t>
      </w:r>
      <w:r>
        <w:t>r</w:t>
      </w:r>
      <w:r>
        <w:t>preisindex (Gesamtindex) angehoben. Eine Absenkung des Preises erfolgt nicht. Es wird eine Rundung zwei Stellen hinter dem Komma vorgenommen.</w:t>
      </w:r>
    </w:p>
    <w:p>
      <w:pPr>
        <w:pStyle w:val="Listenabsatz"/>
      </w:pPr>
    </w:p>
    <w:p>
      <w:pPr>
        <w:pStyle w:val="Default"/>
        <w:numPr>
          <w:ilvl w:val="0"/>
          <w:numId w:val="20"/>
        </w:numPr>
        <w:jc w:val="both"/>
      </w:pPr>
      <w:r>
        <w:t>Die Anpas</w:t>
      </w:r>
      <w:r>
        <w:t xml:space="preserve">sung erfolgt erstmalig zum </w:t>
      </w:r>
      <w:r>
        <w:t>24</w:t>
      </w:r>
      <w:r>
        <w:t>.</w:t>
      </w:r>
      <w:r>
        <w:t>0</w:t>
      </w:r>
      <w:r>
        <w:t>3</w:t>
      </w:r>
      <w:r>
        <w:t>.</w:t>
      </w:r>
      <w:r>
        <w:t>201</w:t>
      </w:r>
      <w:r>
        <w:t>8</w:t>
      </w:r>
      <w:r>
        <w:t>.</w:t>
      </w:r>
    </w:p>
    <w:p>
      <w:pPr>
        <w:pStyle w:val="Default"/>
        <w:jc w:val="both"/>
      </w:pPr>
    </w:p>
    <w:p>
      <w:pPr>
        <w:rPr>
          <w:rFonts w:cs="Arial"/>
          <w:color w:val="000000"/>
          <w:sz w:val="24"/>
          <w:u w:val="single"/>
        </w:rPr>
      </w:pPr>
    </w:p>
    <w:p>
      <w:pPr>
        <w:pStyle w:val="Default"/>
        <w:jc w:val="both"/>
        <w:rPr>
          <w:b/>
          <w:bCs/>
        </w:rPr>
      </w:pPr>
      <w:r>
        <w:rPr>
          <w:b/>
          <w:bCs/>
        </w:rPr>
        <w:t>§ 17</w:t>
      </w:r>
      <w:r>
        <w:rPr>
          <w:b/>
          <w:bCs/>
        </w:rPr>
        <w:t xml:space="preserve"> Erfüllungsort und Gerichtsstand </w:t>
      </w:r>
    </w:p>
    <w:p>
      <w:pPr>
        <w:pStyle w:val="Default"/>
        <w:numPr>
          <w:ilvl w:val="0"/>
          <w:numId w:val="17"/>
        </w:numPr>
        <w:ind w:left="426" w:hanging="426"/>
      </w:pPr>
      <w:r>
        <w:t>Erfüllungsort ist der jeweils vereinbarte Einsatzort.</w:t>
      </w:r>
    </w:p>
    <w:p>
      <w:pPr>
        <w:pStyle w:val="Default"/>
        <w:ind w:left="426"/>
      </w:pPr>
    </w:p>
    <w:p>
      <w:pPr>
        <w:pStyle w:val="Default"/>
        <w:numPr>
          <w:ilvl w:val="0"/>
          <w:numId w:val="17"/>
        </w:numPr>
        <w:ind w:left="426" w:hanging="426"/>
        <w:jc w:val="both"/>
      </w:pPr>
      <w:r>
        <w:t xml:space="preserve">Gerichtsstand für alle Streitigkeiten aus diesem Vertrag ist </w:t>
      </w:r>
      <w:r>
        <w:t>Recklinghaus</w:t>
      </w:r>
      <w:r>
        <w:t>en</w:t>
      </w:r>
      <w:r>
        <w:t>, s</w:t>
      </w:r>
      <w:r>
        <w:t>o</w:t>
      </w:r>
      <w:r>
        <w:t>weit zwingende gesetzliche Vorschriften nichts Abweichendes festlegen</w:t>
      </w:r>
      <w:r>
        <w:t xml:space="preserve">. </w:t>
      </w:r>
    </w:p>
    <w:p>
      <w:pPr>
        <w:pStyle w:val="Default"/>
        <w:ind w:left="426" w:hanging="426"/>
        <w:jc w:val="both"/>
      </w:pPr>
    </w:p>
    <w:p>
      <w:pPr>
        <w:pStyle w:val="Default"/>
        <w:numPr>
          <w:ilvl w:val="0"/>
          <w:numId w:val="17"/>
        </w:numPr>
        <w:ind w:left="426" w:hanging="426"/>
        <w:jc w:val="both"/>
      </w:pPr>
      <w:r>
        <w:t xml:space="preserve">Es gilt deutsches Recht. </w:t>
      </w:r>
    </w:p>
    <w:p>
      <w:pPr>
        <w:rPr>
          <w:rFonts w:cs="Arial"/>
          <w:color w:val="000000"/>
          <w:sz w:val="24"/>
          <w:u w:val="single"/>
        </w:rPr>
      </w:pPr>
    </w:p>
    <w:p>
      <w:pPr>
        <w:pStyle w:val="Default"/>
        <w:jc w:val="both"/>
      </w:pPr>
    </w:p>
    <w:p>
      <w:pPr>
        <w:pStyle w:val="Default"/>
        <w:jc w:val="both"/>
        <w:rPr>
          <w:b/>
        </w:rPr>
      </w:pPr>
      <w:r>
        <w:rPr>
          <w:b/>
        </w:rPr>
        <w:t xml:space="preserve">§ </w:t>
      </w:r>
      <w:r>
        <w:rPr>
          <w:b/>
        </w:rPr>
        <w:t>1</w:t>
      </w:r>
      <w:r>
        <w:rPr>
          <w:b/>
        </w:rPr>
        <w:t>8</w:t>
      </w:r>
      <w:r>
        <w:rPr>
          <w:b/>
        </w:rPr>
        <w:t xml:space="preserve"> Schriftformerfordernis und Salvatorische Klausel</w:t>
      </w:r>
    </w:p>
    <w:p>
      <w:pPr>
        <w:pStyle w:val="Default"/>
        <w:numPr>
          <w:ilvl w:val="0"/>
          <w:numId w:val="16"/>
        </w:numPr>
        <w:ind w:left="426" w:hanging="426"/>
        <w:jc w:val="both"/>
      </w:pPr>
      <w:r>
        <w:t>Alle Änderungen oder Ergänzungen dieses Vertrages</w:t>
      </w:r>
      <w:r>
        <w:t xml:space="preserve"> </w:t>
      </w:r>
      <w:r>
        <w:t>einschließlich dieser Kla</w:t>
      </w:r>
      <w:r>
        <w:t>u</w:t>
      </w:r>
      <w:r>
        <w:t>sel bedürfen zu ihrer Wirksamkeit eines von den Parteien unterzeichneten Nac</w:t>
      </w:r>
      <w:r>
        <w:t>h</w:t>
      </w:r>
      <w:r>
        <w:t>trages. Das Schriftformerfordernis kann seinerseits nur schriftlich abbedungen werden.</w:t>
      </w:r>
    </w:p>
    <w:p>
      <w:pPr>
        <w:pStyle w:val="Default"/>
        <w:ind w:left="426"/>
        <w:jc w:val="both"/>
      </w:pPr>
    </w:p>
    <w:p>
      <w:pPr>
        <w:pStyle w:val="Default"/>
        <w:numPr>
          <w:ilvl w:val="0"/>
          <w:numId w:val="16"/>
        </w:numPr>
        <w:ind w:left="426" w:hanging="426"/>
        <w:jc w:val="both"/>
      </w:pPr>
      <w:r>
        <w:t>Sollte eine Bestimmung dieses Vertrages ungültig sein, so betrifft dies nicht den sonstigen Teil des Vertrages. Ungültige Vertragsbestimmungen sind durch so</w:t>
      </w:r>
      <w:r>
        <w:t>l</w:t>
      </w:r>
      <w:r>
        <w:t>che Regelungen zu ersetzen, die dem Sinn und Zweck der ungültigen Regelung am nächsten kommen</w:t>
      </w:r>
      <w:r>
        <w:t xml:space="preserve">, wobei maßgebend ist, was die Parteien vereinbart hätten, wenn ihnen die Ungültigkeit einer Vertragsbestimmung bekannt gewesen wäre. </w:t>
      </w:r>
    </w:p>
    <w:p>
      <w:pPr>
        <w:pStyle w:val="Default"/>
        <w:jc w:val="both"/>
      </w:pPr>
    </w:p>
    <w:p>
      <w:pPr>
        <w:rPr>
          <w:rFonts w:cs="Arial"/>
          <w:color w:val="000000"/>
          <w:sz w:val="24"/>
        </w:rPr>
      </w:pPr>
      <w:r>
        <w:br w:type="page"/>
      </w:r>
    </w:p>
    <w:p>
      <w:pPr>
        <w:pStyle w:val="Default"/>
        <w:jc w:val="both"/>
      </w:pPr>
      <w:r>
        <w:rPr>
          <w:noProof/>
        </w:rPr>
        <w:drawing>
          <wp:anchor distT="0" distB="0" distL="114300" distR="114300" simplePos="0" relativeHeight="251659264" behindDoc="0" locked="0" layoutInCell="1" allowOverlap="1">
            <wp:simplePos x="0" y="0"/>
            <wp:positionH relativeFrom="column">
              <wp:posOffset>152400</wp:posOffset>
            </wp:positionH>
            <wp:positionV relativeFrom="paragraph">
              <wp:posOffset>-27940</wp:posOffset>
            </wp:positionV>
            <wp:extent cx="5762625" cy="9429750"/>
            <wp:effectExtent l="0" t="0" r="9525"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2625" cy="9429750"/>
                    </a:xfrm>
                    <a:prstGeom prst="rect">
                      <a:avLst/>
                    </a:prstGeom>
                    <a:noFill/>
                    <a:ln>
                      <a:noFill/>
                    </a:ln>
                  </pic:spPr>
                </pic:pic>
              </a:graphicData>
            </a:graphic>
          </wp:anchor>
        </w:drawing>
      </w:r>
    </w:p>
    <w:sectPr>
      <w:headerReference w:type="default" r:id="rId10"/>
      <w:footerReference w:type="default" r:id="rId11"/>
      <w:pgSz w:w="11906" w:h="16838"/>
      <w:pgMar w:top="1701" w:right="1417" w:bottom="1134" w:left="1417" w:header="567" w:footer="38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Fuzeile"/>
      <w:pBdr>
        <w:top w:val="thinThickSmallGap" w:sz="24" w:space="1" w:color="622423" w:themeColor="accent2" w:themeShade="7F"/>
      </w:pBdr>
      <w:jc w:val="center"/>
      <w:rPr>
        <w:rFonts w:eastAsiaTheme="majorEastAsia" w:cs="Arial"/>
        <w:sz w:val="16"/>
        <w:szCs w:val="16"/>
      </w:rPr>
    </w:pPr>
    <w:r>
      <w:rPr>
        <w:rFonts w:eastAsiaTheme="majorEastAsia" w:cs="Arial"/>
        <w:sz w:val="16"/>
        <w:szCs w:val="16"/>
      </w:rPr>
      <w:t xml:space="preserve"> </w:t>
    </w:r>
  </w:p>
  <w:p>
    <w:pPr>
      <w:pStyle w:val="Fuzeile"/>
      <w:pBdr>
        <w:top w:val="thinThickSmallGap" w:sz="24" w:space="1" w:color="622423" w:themeColor="accent2" w:themeShade="7F"/>
      </w:pBdr>
      <w:rPr>
        <w:rFonts w:eastAsiaTheme="majorEastAsia" w:cs="Arial"/>
        <w:sz w:val="16"/>
        <w:szCs w:val="16"/>
      </w:rPr>
    </w:pPr>
  </w:p>
  <w:p>
    <w:pPr>
      <w:pStyle w:val="Fuzeile"/>
      <w:pBdr>
        <w:top w:val="thinThickSmallGap" w:sz="24" w:space="1" w:color="622423" w:themeColor="accent2" w:themeShade="7F"/>
      </w:pBdr>
      <w:rPr>
        <w:rFonts w:eastAsiaTheme="majorEastAsia" w:cs="Arial"/>
        <w:sz w:val="20"/>
        <w:szCs w:val="20"/>
      </w:rPr>
    </w:pPr>
    <w:r>
      <w:rPr>
        <w:rFonts w:eastAsiaTheme="majorEastAsia" w:cs="Arial"/>
        <w:sz w:val="20"/>
        <w:szCs w:val="20"/>
      </w:rPr>
      <w:t xml:space="preserve">Stand: </w:t>
    </w:r>
    <w:r>
      <w:rPr>
        <w:rFonts w:eastAsiaTheme="majorEastAsia" w:cs="Arial"/>
        <w:sz w:val="20"/>
        <w:szCs w:val="20"/>
      </w:rPr>
      <w:t>23</w:t>
    </w:r>
    <w:r>
      <w:rPr>
        <w:rFonts w:eastAsiaTheme="majorEastAsia" w:cs="Arial"/>
        <w:sz w:val="20"/>
        <w:szCs w:val="20"/>
      </w:rPr>
      <w:t>.</w:t>
    </w:r>
    <w:r>
      <w:rPr>
        <w:rFonts w:eastAsiaTheme="majorEastAsia" w:cs="Arial"/>
        <w:sz w:val="20"/>
        <w:szCs w:val="20"/>
      </w:rPr>
      <w:t>0</w:t>
    </w:r>
    <w:r>
      <w:rPr>
        <w:rFonts w:eastAsiaTheme="majorEastAsia" w:cs="Arial"/>
        <w:sz w:val="20"/>
        <w:szCs w:val="20"/>
      </w:rPr>
      <w:t>1</w:t>
    </w:r>
    <w:r>
      <w:rPr>
        <w:rFonts w:eastAsiaTheme="majorEastAsia" w:cs="Arial"/>
        <w:sz w:val="20"/>
        <w:szCs w:val="20"/>
      </w:rPr>
      <w:t>.201</w:t>
    </w:r>
    <w:r>
      <w:rPr>
        <w:rFonts w:eastAsiaTheme="majorEastAsia" w:cs="Arial"/>
        <w:sz w:val="20"/>
        <w:szCs w:val="20"/>
      </w:rPr>
      <w:t>7</w:t>
    </w:r>
    <w:r>
      <w:rPr>
        <w:rFonts w:eastAsiaTheme="majorEastAsia" w:cs="Arial"/>
        <w:sz w:val="20"/>
        <w:szCs w:val="20"/>
      </w:rPr>
      <w:t xml:space="preserve"> </w:t>
    </w:r>
    <w:r>
      <w:rPr>
        <w:rFonts w:eastAsiaTheme="majorEastAsia" w:cs="Arial"/>
        <w:sz w:val="20"/>
        <w:szCs w:val="20"/>
      </w:rPr>
      <w:tab/>
    </w:r>
    <w:r>
      <w:rPr>
        <w:rFonts w:cs="Arial"/>
        <w:sz w:val="20"/>
        <w:szCs w:val="20"/>
      </w:rPr>
      <w:t>(ZV) 19-21-80-</w:t>
    </w:r>
    <w:r>
      <w:rPr>
        <w:rFonts w:cs="Arial"/>
        <w:sz w:val="20"/>
        <w:szCs w:val="20"/>
      </w:rPr>
      <w:t>18</w:t>
    </w:r>
    <w:r>
      <w:rPr>
        <w:rFonts w:cs="Arial"/>
        <w:sz w:val="20"/>
        <w:szCs w:val="20"/>
      </w:rPr>
      <w:t>/1</w:t>
    </w:r>
    <w:r>
      <w:rPr>
        <w:rFonts w:cs="Arial"/>
        <w:sz w:val="20"/>
        <w:szCs w:val="20"/>
      </w:rPr>
      <w:t>7</w:t>
    </w:r>
    <w:r>
      <w:rPr>
        <w:rFonts w:eastAsiaTheme="majorEastAsia" w:cs="Arial"/>
        <w:sz w:val="20"/>
        <w:szCs w:val="20"/>
      </w:rPr>
      <w:tab/>
    </w:r>
    <w:r>
      <w:rPr>
        <w:rFonts w:eastAsiaTheme="majorEastAsia" w:cs="Arial"/>
        <w:sz w:val="20"/>
        <w:szCs w:val="20"/>
      </w:rPr>
      <w:t xml:space="preserve">Seite </w:t>
    </w:r>
    <w:r>
      <w:rPr>
        <w:rFonts w:eastAsiaTheme="majorEastAsia" w:cs="Arial"/>
        <w:sz w:val="20"/>
        <w:szCs w:val="20"/>
      </w:rPr>
      <w:fldChar w:fldCharType="begin"/>
    </w:r>
    <w:r>
      <w:rPr>
        <w:rFonts w:eastAsiaTheme="majorEastAsia" w:cs="Arial"/>
        <w:sz w:val="20"/>
        <w:szCs w:val="20"/>
      </w:rPr>
      <w:instrText>PAGE  \* Arabic  \* MERGEFORMAT</w:instrText>
    </w:r>
    <w:r>
      <w:rPr>
        <w:rFonts w:eastAsiaTheme="majorEastAsia" w:cs="Arial"/>
        <w:sz w:val="20"/>
        <w:szCs w:val="20"/>
      </w:rPr>
      <w:fldChar w:fldCharType="separate"/>
    </w:r>
    <w:r>
      <w:rPr>
        <w:rFonts w:eastAsiaTheme="majorEastAsia" w:cs="Arial"/>
        <w:noProof/>
        <w:sz w:val="20"/>
        <w:szCs w:val="20"/>
      </w:rPr>
      <w:t>1</w:t>
    </w:r>
    <w:r>
      <w:rPr>
        <w:rFonts w:eastAsiaTheme="majorEastAsia" w:cs="Arial"/>
        <w:sz w:val="20"/>
        <w:szCs w:val="20"/>
      </w:rPr>
      <w:fldChar w:fldCharType="end"/>
    </w:r>
    <w:r>
      <w:rPr>
        <w:rFonts w:eastAsiaTheme="majorEastAsia" w:cs="Arial"/>
        <w:sz w:val="20"/>
        <w:szCs w:val="20"/>
      </w:rPr>
      <w:t xml:space="preserve"> von </w:t>
    </w:r>
    <w:r>
      <w:rPr>
        <w:rFonts w:eastAsiaTheme="majorEastAsia" w:cs="Arial"/>
        <w:sz w:val="20"/>
        <w:szCs w:val="20"/>
      </w:rPr>
      <w:fldChar w:fldCharType="begin"/>
    </w:r>
    <w:r>
      <w:rPr>
        <w:rFonts w:eastAsiaTheme="majorEastAsia" w:cs="Arial"/>
        <w:sz w:val="20"/>
        <w:szCs w:val="20"/>
      </w:rPr>
      <w:instrText>NUMPAGES  \* Arabic  \* MERGEFORMAT</w:instrText>
    </w:r>
    <w:r>
      <w:rPr>
        <w:rFonts w:eastAsiaTheme="majorEastAsia" w:cs="Arial"/>
        <w:sz w:val="20"/>
        <w:szCs w:val="20"/>
      </w:rPr>
      <w:fldChar w:fldCharType="separate"/>
    </w:r>
    <w:r>
      <w:rPr>
        <w:rFonts w:eastAsiaTheme="majorEastAsia" w:cs="Arial"/>
        <w:noProof/>
        <w:sz w:val="20"/>
        <w:szCs w:val="20"/>
      </w:rPr>
      <w:t>10</w:t>
    </w:r>
    <w:r>
      <w:rPr>
        <w:rFonts w:eastAsiaTheme="majorEastAsia"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Kopfzeile"/>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A6719"/>
    <w:multiLevelType w:val="hybridMultilevel"/>
    <w:tmpl w:val="8FA4EE7C"/>
    <w:lvl w:ilvl="0" w:tplc="0407000F">
      <w:start w:val="1"/>
      <w:numFmt w:val="decimal"/>
      <w:lvlText w:val="%1."/>
      <w:lvlJc w:val="left"/>
      <w:pPr>
        <w:ind w:left="720" w:hanging="360"/>
      </w:pPr>
    </w:lvl>
    <w:lvl w:ilvl="1" w:tplc="46B87628">
      <w:start w:val="2"/>
      <w:numFmt w:val="bullet"/>
      <w:lvlText w:val="•"/>
      <w:lvlJc w:val="left"/>
      <w:pPr>
        <w:ind w:left="1440" w:hanging="360"/>
      </w:pPr>
      <w:rPr>
        <w:rFonts w:ascii="Arial" w:eastAsia="Times New Roman" w:hAnsi="Arial" w:cs="Arial" w:hint="default"/>
      </w:rPr>
    </w:lvl>
    <w:lvl w:ilvl="2" w:tplc="A93C0FE6">
      <w:start w:val="1"/>
      <w:numFmt w:val="decimal"/>
      <w:lvlText w:val="(%3)"/>
      <w:lvlJc w:val="left"/>
      <w:pPr>
        <w:ind w:left="2340" w:hanging="360"/>
      </w:pPr>
      <w:rPr>
        <w:rFonts w:hint="default"/>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04C77BC7"/>
    <w:multiLevelType w:val="hybridMultilevel"/>
    <w:tmpl w:val="CDD6430E"/>
    <w:lvl w:ilvl="0" w:tplc="B83ED43A">
      <w:start w:val="1"/>
      <w:numFmt w:val="decimal"/>
      <w:lvlText w:val="(%1)"/>
      <w:lvlJc w:val="righ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0AAB77EE"/>
    <w:multiLevelType w:val="hybridMultilevel"/>
    <w:tmpl w:val="B81CB898"/>
    <w:lvl w:ilvl="0" w:tplc="20FCEA28">
      <w:start w:val="2"/>
      <w:numFmt w:val="bullet"/>
      <w:lvlText w:val="-"/>
      <w:lvlJc w:val="left"/>
      <w:pPr>
        <w:ind w:left="786" w:hanging="360"/>
      </w:pPr>
      <w:rPr>
        <w:rFonts w:ascii="Arial" w:eastAsia="Times New Roman" w:hAnsi="Arial" w:cs="Arial" w:hint="default"/>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3">
    <w:nsid w:val="0F183860"/>
    <w:multiLevelType w:val="hybridMultilevel"/>
    <w:tmpl w:val="9CA4A6FA"/>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0FB66E18"/>
    <w:multiLevelType w:val="hybridMultilevel"/>
    <w:tmpl w:val="7C844D2A"/>
    <w:lvl w:ilvl="0" w:tplc="57AAAC7C">
      <w:start w:val="1"/>
      <w:numFmt w:val="decimal"/>
      <w:lvlText w:val="(%1)"/>
      <w:lvlJc w:val="left"/>
      <w:pPr>
        <w:ind w:left="420" w:hanging="360"/>
      </w:pPr>
      <w:rPr>
        <w:rFonts w:hint="default"/>
      </w:rPr>
    </w:lvl>
    <w:lvl w:ilvl="1" w:tplc="04070019" w:tentative="1">
      <w:start w:val="1"/>
      <w:numFmt w:val="lowerLetter"/>
      <w:lvlText w:val="%2."/>
      <w:lvlJc w:val="left"/>
      <w:pPr>
        <w:ind w:left="1140" w:hanging="360"/>
      </w:pPr>
    </w:lvl>
    <w:lvl w:ilvl="2" w:tplc="0407001B" w:tentative="1">
      <w:start w:val="1"/>
      <w:numFmt w:val="lowerRoman"/>
      <w:lvlText w:val="%3."/>
      <w:lvlJc w:val="right"/>
      <w:pPr>
        <w:ind w:left="1860" w:hanging="180"/>
      </w:pPr>
    </w:lvl>
    <w:lvl w:ilvl="3" w:tplc="0407000F" w:tentative="1">
      <w:start w:val="1"/>
      <w:numFmt w:val="decimal"/>
      <w:lvlText w:val="%4."/>
      <w:lvlJc w:val="left"/>
      <w:pPr>
        <w:ind w:left="2580" w:hanging="360"/>
      </w:pPr>
    </w:lvl>
    <w:lvl w:ilvl="4" w:tplc="04070019" w:tentative="1">
      <w:start w:val="1"/>
      <w:numFmt w:val="lowerLetter"/>
      <w:lvlText w:val="%5."/>
      <w:lvlJc w:val="left"/>
      <w:pPr>
        <w:ind w:left="3300" w:hanging="360"/>
      </w:pPr>
    </w:lvl>
    <w:lvl w:ilvl="5" w:tplc="0407001B" w:tentative="1">
      <w:start w:val="1"/>
      <w:numFmt w:val="lowerRoman"/>
      <w:lvlText w:val="%6."/>
      <w:lvlJc w:val="right"/>
      <w:pPr>
        <w:ind w:left="4020" w:hanging="180"/>
      </w:pPr>
    </w:lvl>
    <w:lvl w:ilvl="6" w:tplc="0407000F" w:tentative="1">
      <w:start w:val="1"/>
      <w:numFmt w:val="decimal"/>
      <w:lvlText w:val="%7."/>
      <w:lvlJc w:val="left"/>
      <w:pPr>
        <w:ind w:left="4740" w:hanging="360"/>
      </w:pPr>
    </w:lvl>
    <w:lvl w:ilvl="7" w:tplc="04070019" w:tentative="1">
      <w:start w:val="1"/>
      <w:numFmt w:val="lowerLetter"/>
      <w:lvlText w:val="%8."/>
      <w:lvlJc w:val="left"/>
      <w:pPr>
        <w:ind w:left="5460" w:hanging="360"/>
      </w:pPr>
    </w:lvl>
    <w:lvl w:ilvl="8" w:tplc="0407001B" w:tentative="1">
      <w:start w:val="1"/>
      <w:numFmt w:val="lowerRoman"/>
      <w:lvlText w:val="%9."/>
      <w:lvlJc w:val="right"/>
      <w:pPr>
        <w:ind w:left="6180" w:hanging="180"/>
      </w:pPr>
    </w:lvl>
  </w:abstractNum>
  <w:abstractNum w:abstractNumId="5">
    <w:nsid w:val="15D95F43"/>
    <w:multiLevelType w:val="hybridMultilevel"/>
    <w:tmpl w:val="C9CAD5AE"/>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1DEF0746"/>
    <w:multiLevelType w:val="hybridMultilevel"/>
    <w:tmpl w:val="D9B6D00A"/>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203D0538"/>
    <w:multiLevelType w:val="hybridMultilevel"/>
    <w:tmpl w:val="E8441722"/>
    <w:lvl w:ilvl="0" w:tplc="04070015">
      <w:start w:val="1"/>
      <w:numFmt w:val="decimal"/>
      <w:lvlText w:val="(%1)"/>
      <w:lvlJc w:val="left"/>
      <w:pPr>
        <w:ind w:left="720" w:hanging="360"/>
      </w:pPr>
      <w:rPr>
        <w:rFonts w:hint="default"/>
      </w:rPr>
    </w:lvl>
    <w:lvl w:ilvl="1" w:tplc="33E43950">
      <w:start w:val="1"/>
      <w:numFmt w:val="decimal"/>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nsid w:val="245A4A08"/>
    <w:multiLevelType w:val="hybridMultilevel"/>
    <w:tmpl w:val="8806C336"/>
    <w:lvl w:ilvl="0" w:tplc="04070015">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nsid w:val="2DA00303"/>
    <w:multiLevelType w:val="hybridMultilevel"/>
    <w:tmpl w:val="BB04FF08"/>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2E5241AF"/>
    <w:multiLevelType w:val="hybridMultilevel"/>
    <w:tmpl w:val="E718122E"/>
    <w:lvl w:ilvl="0" w:tplc="04070015">
      <w:start w:val="1"/>
      <w:numFmt w:val="decimal"/>
      <w:lvlText w:val="(%1)"/>
      <w:lvlJc w:val="left"/>
      <w:pPr>
        <w:ind w:left="502" w:hanging="360"/>
      </w:pPr>
      <w:rPr>
        <w:rFonts w:hint="default"/>
      </w:rPr>
    </w:lvl>
    <w:lvl w:ilvl="1" w:tplc="04070019" w:tentative="1">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11">
    <w:nsid w:val="3C21014B"/>
    <w:multiLevelType w:val="hybridMultilevel"/>
    <w:tmpl w:val="43988586"/>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3DE94AF1"/>
    <w:multiLevelType w:val="hybridMultilevel"/>
    <w:tmpl w:val="3D36B25C"/>
    <w:lvl w:ilvl="0" w:tplc="04070015">
      <w:start w:val="1"/>
      <w:numFmt w:val="decimal"/>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44E71C58"/>
    <w:multiLevelType w:val="hybridMultilevel"/>
    <w:tmpl w:val="0BAC3444"/>
    <w:lvl w:ilvl="0" w:tplc="04070015">
      <w:start w:val="2"/>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44F81AB2"/>
    <w:multiLevelType w:val="hybridMultilevel"/>
    <w:tmpl w:val="775EDB68"/>
    <w:lvl w:ilvl="0" w:tplc="96B66DD8">
      <w:start w:val="2"/>
      <w:numFmt w:val="bullet"/>
      <w:lvlText w:val=""/>
      <w:lvlJc w:val="left"/>
      <w:pPr>
        <w:ind w:left="786" w:hanging="360"/>
      </w:pPr>
      <w:rPr>
        <w:rFonts w:ascii="Wingdings" w:eastAsia="Times New Roman" w:hAnsi="Wingdings" w:cs="Arial" w:hint="default"/>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15">
    <w:nsid w:val="47BF24D6"/>
    <w:multiLevelType w:val="hybridMultilevel"/>
    <w:tmpl w:val="C3D2CC44"/>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4A4464F4"/>
    <w:multiLevelType w:val="hybridMultilevel"/>
    <w:tmpl w:val="5A165CF4"/>
    <w:lvl w:ilvl="0" w:tplc="E3B4F4C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4A486CFA"/>
    <w:multiLevelType w:val="hybridMultilevel"/>
    <w:tmpl w:val="17EC2248"/>
    <w:lvl w:ilvl="0" w:tplc="B83ED43A">
      <w:start w:val="1"/>
      <w:numFmt w:val="decimal"/>
      <w:lvlText w:val="(%1)"/>
      <w:lvlJc w:val="righ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nsid w:val="4DB03159"/>
    <w:multiLevelType w:val="hybridMultilevel"/>
    <w:tmpl w:val="2452A826"/>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4F246CA4"/>
    <w:multiLevelType w:val="hybridMultilevel"/>
    <w:tmpl w:val="EAD471A8"/>
    <w:lvl w:ilvl="0" w:tplc="04070015">
      <w:start w:val="1"/>
      <w:numFmt w:val="decimal"/>
      <w:lvlText w:val="(%1)"/>
      <w:lvlJc w:val="left"/>
      <w:pPr>
        <w:ind w:left="720" w:hanging="360"/>
      </w:pPr>
      <w:rPr>
        <w:rFonts w:hint="default"/>
      </w:rPr>
    </w:lvl>
    <w:lvl w:ilvl="1" w:tplc="D6B46988">
      <w:start w:val="1"/>
      <w:numFmt w:val="lowerLetter"/>
      <w:lvlText w:val="%2)"/>
      <w:lvlJc w:val="left"/>
      <w:pPr>
        <w:ind w:left="1440" w:hanging="360"/>
      </w:pPr>
      <w:rPr>
        <w:rFonts w:hint="default"/>
      </w:rPr>
    </w:lvl>
    <w:lvl w:ilvl="2" w:tplc="CAF81A3C">
      <w:start w:val="1"/>
      <w:numFmt w:val="bullet"/>
      <w:lvlText w:val="-"/>
      <w:lvlJc w:val="left"/>
      <w:pPr>
        <w:ind w:left="2340" w:hanging="360"/>
      </w:pPr>
      <w:rPr>
        <w:rFonts w:ascii="Arial" w:eastAsia="Times New Roman" w:hAnsi="Arial" w:cs="Arial" w:hint="default"/>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55AD2556"/>
    <w:multiLevelType w:val="hybridMultilevel"/>
    <w:tmpl w:val="52A2769A"/>
    <w:lvl w:ilvl="0" w:tplc="C3FAC766">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56874153"/>
    <w:multiLevelType w:val="hybridMultilevel"/>
    <w:tmpl w:val="BEEA9FBC"/>
    <w:lvl w:ilvl="0" w:tplc="B83ED43A">
      <w:start w:val="1"/>
      <w:numFmt w:val="decimal"/>
      <w:lvlText w:val="(%1)"/>
      <w:lvlJc w:val="righ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65CE5112"/>
    <w:multiLevelType w:val="hybridMultilevel"/>
    <w:tmpl w:val="F1BECCA6"/>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67725A54"/>
    <w:multiLevelType w:val="hybridMultilevel"/>
    <w:tmpl w:val="2D82640E"/>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69006483"/>
    <w:multiLevelType w:val="hybridMultilevel"/>
    <w:tmpl w:val="A920CBC0"/>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6FF67C86"/>
    <w:multiLevelType w:val="hybridMultilevel"/>
    <w:tmpl w:val="D3D6688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74B80FDC"/>
    <w:multiLevelType w:val="hybridMultilevel"/>
    <w:tmpl w:val="556EAF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nsid w:val="756E5FF9"/>
    <w:multiLevelType w:val="hybridMultilevel"/>
    <w:tmpl w:val="C636B444"/>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nsid w:val="7B9429E0"/>
    <w:multiLevelType w:val="hybridMultilevel"/>
    <w:tmpl w:val="7DC2E3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7C11615D"/>
    <w:multiLevelType w:val="hybridMultilevel"/>
    <w:tmpl w:val="E08262F4"/>
    <w:lvl w:ilvl="0" w:tplc="B83ED43A">
      <w:start w:val="1"/>
      <w:numFmt w:val="decimal"/>
      <w:lvlText w:val="(%1)"/>
      <w:lvlJc w:val="righ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6"/>
  </w:num>
  <w:num w:numId="2">
    <w:abstractNumId w:val="7"/>
  </w:num>
  <w:num w:numId="3">
    <w:abstractNumId w:val="12"/>
  </w:num>
  <w:num w:numId="4">
    <w:abstractNumId w:val="23"/>
  </w:num>
  <w:num w:numId="5">
    <w:abstractNumId w:val="9"/>
  </w:num>
  <w:num w:numId="6">
    <w:abstractNumId w:val="11"/>
  </w:num>
  <w:num w:numId="7">
    <w:abstractNumId w:val="0"/>
  </w:num>
  <w:num w:numId="8">
    <w:abstractNumId w:val="19"/>
  </w:num>
  <w:num w:numId="9">
    <w:abstractNumId w:val="5"/>
  </w:num>
  <w:num w:numId="10">
    <w:abstractNumId w:val="10"/>
  </w:num>
  <w:num w:numId="11">
    <w:abstractNumId w:val="8"/>
  </w:num>
  <w:num w:numId="12">
    <w:abstractNumId w:val="15"/>
  </w:num>
  <w:num w:numId="13">
    <w:abstractNumId w:val="22"/>
  </w:num>
  <w:num w:numId="14">
    <w:abstractNumId w:val="25"/>
  </w:num>
  <w:num w:numId="15">
    <w:abstractNumId w:val="18"/>
  </w:num>
  <w:num w:numId="16">
    <w:abstractNumId w:val="27"/>
  </w:num>
  <w:num w:numId="17">
    <w:abstractNumId w:val="3"/>
  </w:num>
  <w:num w:numId="18">
    <w:abstractNumId w:val="1"/>
  </w:num>
  <w:num w:numId="19">
    <w:abstractNumId w:val="28"/>
  </w:num>
  <w:num w:numId="20">
    <w:abstractNumId w:val="21"/>
  </w:num>
  <w:num w:numId="21">
    <w:abstractNumId w:val="29"/>
  </w:num>
  <w:num w:numId="22">
    <w:abstractNumId w:val="17"/>
  </w:num>
  <w:num w:numId="23">
    <w:abstractNumId w:val="24"/>
  </w:num>
  <w:num w:numId="24">
    <w:abstractNumId w:val="14"/>
  </w:num>
  <w:num w:numId="25">
    <w:abstractNumId w:val="20"/>
  </w:num>
  <w:num w:numId="26">
    <w:abstractNumId w:val="26"/>
  </w:num>
  <w:num w:numId="27">
    <w:abstractNumId w:val="4"/>
  </w:num>
  <w:num w:numId="28">
    <w:abstractNumId w:val="2"/>
  </w:num>
  <w:num w:numId="29">
    <w:abstractNumId w:val="13"/>
  </w:num>
  <w:num w:numId="30">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1" w:cryptProviderType="rsaFull" w:cryptAlgorithmClass="hash" w:cryptAlgorithmType="typeAny" w:cryptAlgorithmSid="4" w:cryptSpinCount="100000" w:hash="S+T6dctlvBJBO3/SERM32Ay1X8Q=" w:salt="cBVJCLxUfChiudZD7t9CPg=="/>
  <w:defaultTabStop w:val="708"/>
  <w:autoHyphenation/>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Body Text 2"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Pr>
      <w:rFonts w:ascii="Arial" w:hAnsi="Arial"/>
      <w:sz w:val="22"/>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pPr>
      <w:ind w:left="720"/>
      <w:contextualSpacing/>
    </w:pPr>
  </w:style>
  <w:style w:type="paragraph" w:styleId="Kopfzeile">
    <w:name w:val="header"/>
    <w:basedOn w:val="Standard"/>
    <w:link w:val="KopfzeileZchn"/>
    <w:pPr>
      <w:tabs>
        <w:tab w:val="center" w:pos="4536"/>
        <w:tab w:val="right" w:pos="9072"/>
      </w:tabs>
    </w:pPr>
  </w:style>
  <w:style w:type="character" w:customStyle="1" w:styleId="KopfzeileZchn">
    <w:name w:val="Kopfzeile Zchn"/>
    <w:basedOn w:val="Absatz-Standardschriftart"/>
    <w:link w:val="Kopfzeile"/>
    <w:rPr>
      <w:rFonts w:ascii="Arial" w:hAnsi="Arial"/>
      <w:sz w:val="22"/>
      <w:szCs w:val="24"/>
    </w:rPr>
  </w:style>
  <w:style w:type="paragraph" w:styleId="Fuzeile">
    <w:name w:val="footer"/>
    <w:basedOn w:val="Standard"/>
    <w:link w:val="FuzeileZchn"/>
    <w:uiPriority w:val="99"/>
    <w:pPr>
      <w:tabs>
        <w:tab w:val="center" w:pos="4536"/>
        <w:tab w:val="right" w:pos="9072"/>
      </w:tabs>
    </w:pPr>
  </w:style>
  <w:style w:type="character" w:customStyle="1" w:styleId="FuzeileZchn">
    <w:name w:val="Fußzeile Zchn"/>
    <w:basedOn w:val="Absatz-Standardschriftart"/>
    <w:link w:val="Fuzeile"/>
    <w:uiPriority w:val="99"/>
    <w:rPr>
      <w:rFonts w:ascii="Arial" w:hAnsi="Arial"/>
      <w:sz w:val="22"/>
      <w:szCs w:val="24"/>
    </w:rPr>
  </w:style>
  <w:style w:type="paragraph" w:styleId="Sprechblasentext">
    <w:name w:val="Balloon Text"/>
    <w:basedOn w:val="Standard"/>
    <w:link w:val="SprechblasentextZchn"/>
    <w:rPr>
      <w:rFonts w:ascii="Tahoma" w:hAnsi="Tahoma" w:cs="Tahoma"/>
      <w:sz w:val="16"/>
      <w:szCs w:val="16"/>
    </w:rPr>
  </w:style>
  <w:style w:type="character" w:customStyle="1" w:styleId="SprechblasentextZchn">
    <w:name w:val="Sprechblasentext Zchn"/>
    <w:basedOn w:val="Absatz-Standardschriftart"/>
    <w:link w:val="Sprechblasentext"/>
    <w:rPr>
      <w:rFonts w:ascii="Tahoma" w:hAnsi="Tahoma" w:cs="Tahoma"/>
      <w:sz w:val="16"/>
      <w:szCs w:val="16"/>
    </w:rPr>
  </w:style>
  <w:style w:type="paragraph" w:customStyle="1" w:styleId="Default">
    <w:name w:val="Default"/>
    <w:pPr>
      <w:autoSpaceDE w:val="0"/>
      <w:autoSpaceDN w:val="0"/>
      <w:adjustRightInd w:val="0"/>
    </w:pPr>
    <w:rPr>
      <w:rFonts w:ascii="Arial" w:hAnsi="Arial" w:cs="Arial"/>
      <w:color w:val="000000"/>
      <w:sz w:val="24"/>
      <w:szCs w:val="24"/>
    </w:rPr>
  </w:style>
  <w:style w:type="table" w:styleId="Tabellenraster">
    <w:name w:val="Table Grid"/>
    <w:basedOn w:val="NormaleTabell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2">
    <w:name w:val="Body Text 2"/>
    <w:basedOn w:val="Default"/>
    <w:next w:val="Default"/>
    <w:link w:val="Textkrper2Zchn"/>
    <w:uiPriority w:val="99"/>
    <w:rPr>
      <w:color w:val="auto"/>
    </w:rPr>
  </w:style>
  <w:style w:type="character" w:customStyle="1" w:styleId="Textkrper2Zchn">
    <w:name w:val="Textkörper 2 Zchn"/>
    <w:basedOn w:val="Absatz-Standardschriftart"/>
    <w:link w:val="Textkrper2"/>
    <w:uiPriority w:val="99"/>
    <w:rPr>
      <w:rFonts w:ascii="Arial" w:hAnsi="Arial" w:cs="Arial"/>
      <w:sz w:val="24"/>
      <w:szCs w:val="24"/>
    </w:rPr>
  </w:style>
  <w:style w:type="paragraph" w:customStyle="1" w:styleId="Normal">
    <w:name w:val="[Normal]"/>
    <w:uiPriority w:val="99"/>
    <w:pPr>
      <w:widowControl w:val="0"/>
    </w:pPr>
    <w:rPr>
      <w:rFonts w:ascii="Arial" w:eastAsia="Arial" w:hAnsi="Arial" w:cs="Arial"/>
      <w:sz w:val="24"/>
      <w:szCs w:val="24"/>
    </w:rPr>
  </w:style>
  <w:style w:type="character" w:styleId="Kommentarzeichen">
    <w:name w:val="annotation reference"/>
    <w:basedOn w:val="Absatz-Standardschriftart"/>
    <w:rPr>
      <w:sz w:val="16"/>
      <w:szCs w:val="16"/>
    </w:rPr>
  </w:style>
  <w:style w:type="paragraph" w:styleId="Kommentartext">
    <w:name w:val="annotation text"/>
    <w:basedOn w:val="Standard"/>
    <w:link w:val="KommentartextZchn"/>
    <w:rPr>
      <w:sz w:val="20"/>
      <w:szCs w:val="20"/>
    </w:rPr>
  </w:style>
  <w:style w:type="character" w:customStyle="1" w:styleId="KommentartextZchn">
    <w:name w:val="Kommentartext Zchn"/>
    <w:basedOn w:val="Absatz-Standardschriftart"/>
    <w:link w:val="Kommentartext"/>
    <w:rPr>
      <w:rFonts w:ascii="Arial" w:hAnsi="Arial"/>
    </w:rPr>
  </w:style>
  <w:style w:type="paragraph" w:styleId="Kommentarthema">
    <w:name w:val="annotation subject"/>
    <w:basedOn w:val="Kommentartext"/>
    <w:next w:val="Kommentartext"/>
    <w:link w:val="KommentarthemaZchn"/>
    <w:rPr>
      <w:b/>
      <w:bCs/>
    </w:rPr>
  </w:style>
  <w:style w:type="character" w:customStyle="1" w:styleId="KommentarthemaZchn">
    <w:name w:val="Kommentarthema Zchn"/>
    <w:basedOn w:val="KommentartextZchn"/>
    <w:link w:val="Kommentarthema"/>
    <w:rPr>
      <w:rFonts w:ascii="Arial" w:hAnsi="Arial"/>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Body Text 2"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Pr>
      <w:rFonts w:ascii="Arial" w:hAnsi="Arial"/>
      <w:sz w:val="22"/>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pPr>
      <w:ind w:left="720"/>
      <w:contextualSpacing/>
    </w:pPr>
  </w:style>
  <w:style w:type="paragraph" w:styleId="Kopfzeile">
    <w:name w:val="header"/>
    <w:basedOn w:val="Standard"/>
    <w:link w:val="KopfzeileZchn"/>
    <w:pPr>
      <w:tabs>
        <w:tab w:val="center" w:pos="4536"/>
        <w:tab w:val="right" w:pos="9072"/>
      </w:tabs>
    </w:pPr>
  </w:style>
  <w:style w:type="character" w:customStyle="1" w:styleId="KopfzeileZchn">
    <w:name w:val="Kopfzeile Zchn"/>
    <w:basedOn w:val="Absatz-Standardschriftart"/>
    <w:link w:val="Kopfzeile"/>
    <w:rPr>
      <w:rFonts w:ascii="Arial" w:hAnsi="Arial"/>
      <w:sz w:val="22"/>
      <w:szCs w:val="24"/>
    </w:rPr>
  </w:style>
  <w:style w:type="paragraph" w:styleId="Fuzeile">
    <w:name w:val="footer"/>
    <w:basedOn w:val="Standard"/>
    <w:link w:val="FuzeileZchn"/>
    <w:uiPriority w:val="99"/>
    <w:pPr>
      <w:tabs>
        <w:tab w:val="center" w:pos="4536"/>
        <w:tab w:val="right" w:pos="9072"/>
      </w:tabs>
    </w:pPr>
  </w:style>
  <w:style w:type="character" w:customStyle="1" w:styleId="FuzeileZchn">
    <w:name w:val="Fußzeile Zchn"/>
    <w:basedOn w:val="Absatz-Standardschriftart"/>
    <w:link w:val="Fuzeile"/>
    <w:uiPriority w:val="99"/>
    <w:rPr>
      <w:rFonts w:ascii="Arial" w:hAnsi="Arial"/>
      <w:sz w:val="22"/>
      <w:szCs w:val="24"/>
    </w:rPr>
  </w:style>
  <w:style w:type="paragraph" w:styleId="Sprechblasentext">
    <w:name w:val="Balloon Text"/>
    <w:basedOn w:val="Standard"/>
    <w:link w:val="SprechblasentextZchn"/>
    <w:rPr>
      <w:rFonts w:ascii="Tahoma" w:hAnsi="Tahoma" w:cs="Tahoma"/>
      <w:sz w:val="16"/>
      <w:szCs w:val="16"/>
    </w:rPr>
  </w:style>
  <w:style w:type="character" w:customStyle="1" w:styleId="SprechblasentextZchn">
    <w:name w:val="Sprechblasentext Zchn"/>
    <w:basedOn w:val="Absatz-Standardschriftart"/>
    <w:link w:val="Sprechblasentext"/>
    <w:rPr>
      <w:rFonts w:ascii="Tahoma" w:hAnsi="Tahoma" w:cs="Tahoma"/>
      <w:sz w:val="16"/>
      <w:szCs w:val="16"/>
    </w:rPr>
  </w:style>
  <w:style w:type="paragraph" w:customStyle="1" w:styleId="Default">
    <w:name w:val="Default"/>
    <w:pPr>
      <w:autoSpaceDE w:val="0"/>
      <w:autoSpaceDN w:val="0"/>
      <w:adjustRightInd w:val="0"/>
    </w:pPr>
    <w:rPr>
      <w:rFonts w:ascii="Arial" w:hAnsi="Arial" w:cs="Arial"/>
      <w:color w:val="000000"/>
      <w:sz w:val="24"/>
      <w:szCs w:val="24"/>
    </w:rPr>
  </w:style>
  <w:style w:type="table" w:styleId="Tabellenraster">
    <w:name w:val="Table Grid"/>
    <w:basedOn w:val="NormaleTabell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2">
    <w:name w:val="Body Text 2"/>
    <w:basedOn w:val="Default"/>
    <w:next w:val="Default"/>
    <w:link w:val="Textkrper2Zchn"/>
    <w:uiPriority w:val="99"/>
    <w:rPr>
      <w:color w:val="auto"/>
    </w:rPr>
  </w:style>
  <w:style w:type="character" w:customStyle="1" w:styleId="Textkrper2Zchn">
    <w:name w:val="Textkörper 2 Zchn"/>
    <w:basedOn w:val="Absatz-Standardschriftart"/>
    <w:link w:val="Textkrper2"/>
    <w:uiPriority w:val="99"/>
    <w:rPr>
      <w:rFonts w:ascii="Arial" w:hAnsi="Arial" w:cs="Arial"/>
      <w:sz w:val="24"/>
      <w:szCs w:val="24"/>
    </w:rPr>
  </w:style>
  <w:style w:type="paragraph" w:customStyle="1" w:styleId="Normal">
    <w:name w:val="[Normal]"/>
    <w:uiPriority w:val="99"/>
    <w:pPr>
      <w:widowControl w:val="0"/>
    </w:pPr>
    <w:rPr>
      <w:rFonts w:ascii="Arial" w:eastAsia="Arial" w:hAnsi="Arial" w:cs="Arial"/>
      <w:sz w:val="24"/>
      <w:szCs w:val="24"/>
    </w:rPr>
  </w:style>
  <w:style w:type="character" w:styleId="Kommentarzeichen">
    <w:name w:val="annotation reference"/>
    <w:basedOn w:val="Absatz-Standardschriftart"/>
    <w:rPr>
      <w:sz w:val="16"/>
      <w:szCs w:val="16"/>
    </w:rPr>
  </w:style>
  <w:style w:type="paragraph" w:styleId="Kommentartext">
    <w:name w:val="annotation text"/>
    <w:basedOn w:val="Standard"/>
    <w:link w:val="KommentartextZchn"/>
    <w:rPr>
      <w:sz w:val="20"/>
      <w:szCs w:val="20"/>
    </w:rPr>
  </w:style>
  <w:style w:type="character" w:customStyle="1" w:styleId="KommentartextZchn">
    <w:name w:val="Kommentartext Zchn"/>
    <w:basedOn w:val="Absatz-Standardschriftart"/>
    <w:link w:val="Kommentartext"/>
    <w:rPr>
      <w:rFonts w:ascii="Arial" w:hAnsi="Arial"/>
    </w:rPr>
  </w:style>
  <w:style w:type="paragraph" w:styleId="Kommentarthema">
    <w:name w:val="annotation subject"/>
    <w:basedOn w:val="Kommentartext"/>
    <w:next w:val="Kommentartext"/>
    <w:link w:val="KommentarthemaZchn"/>
    <w:rPr>
      <w:b/>
      <w:bCs/>
    </w:rPr>
  </w:style>
  <w:style w:type="character" w:customStyle="1" w:styleId="KommentarthemaZchn">
    <w:name w:val="Kommentarthema Zchn"/>
    <w:basedOn w:val="KommentartextZchn"/>
    <w:link w:val="Kommentarthema"/>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347314">
      <w:bodyDiv w:val="1"/>
      <w:marLeft w:val="0"/>
      <w:marRight w:val="0"/>
      <w:marTop w:val="0"/>
      <w:marBottom w:val="0"/>
      <w:divBdr>
        <w:top w:val="none" w:sz="0" w:space="0" w:color="auto"/>
        <w:left w:val="none" w:sz="0" w:space="0" w:color="auto"/>
        <w:bottom w:val="none" w:sz="0" w:space="0" w:color="auto"/>
        <w:right w:val="none" w:sz="0" w:space="0" w:color="auto"/>
      </w:divBdr>
    </w:div>
    <w:div w:id="610167458">
      <w:bodyDiv w:val="1"/>
      <w:marLeft w:val="0"/>
      <w:marRight w:val="0"/>
      <w:marTop w:val="0"/>
      <w:marBottom w:val="0"/>
      <w:divBdr>
        <w:top w:val="none" w:sz="0" w:space="0" w:color="auto"/>
        <w:left w:val="none" w:sz="0" w:space="0" w:color="auto"/>
        <w:bottom w:val="none" w:sz="0" w:space="0" w:color="auto"/>
        <w:right w:val="none" w:sz="0" w:space="0" w:color="auto"/>
      </w:divBdr>
    </w:div>
    <w:div w:id="941768754">
      <w:bodyDiv w:val="1"/>
      <w:marLeft w:val="0"/>
      <w:marRight w:val="0"/>
      <w:marTop w:val="0"/>
      <w:marBottom w:val="0"/>
      <w:divBdr>
        <w:top w:val="none" w:sz="0" w:space="0" w:color="auto"/>
        <w:left w:val="none" w:sz="0" w:space="0" w:color="auto"/>
        <w:bottom w:val="none" w:sz="0" w:space="0" w:color="auto"/>
        <w:right w:val="none" w:sz="0" w:space="0" w:color="auto"/>
      </w:divBdr>
    </w:div>
    <w:div w:id="959069060">
      <w:bodyDiv w:val="1"/>
      <w:marLeft w:val="0"/>
      <w:marRight w:val="0"/>
      <w:marTop w:val="0"/>
      <w:marBottom w:val="0"/>
      <w:divBdr>
        <w:top w:val="none" w:sz="0" w:space="0" w:color="auto"/>
        <w:left w:val="none" w:sz="0" w:space="0" w:color="auto"/>
        <w:bottom w:val="none" w:sz="0" w:space="0" w:color="auto"/>
        <w:right w:val="none" w:sz="0" w:space="0" w:color="auto"/>
      </w:divBdr>
      <w:divsChild>
        <w:div w:id="404567369">
          <w:marLeft w:val="0"/>
          <w:marRight w:val="0"/>
          <w:marTop w:val="0"/>
          <w:marBottom w:val="0"/>
          <w:divBdr>
            <w:top w:val="none" w:sz="0" w:space="0" w:color="auto"/>
            <w:left w:val="none" w:sz="0" w:space="0" w:color="auto"/>
            <w:bottom w:val="none" w:sz="0" w:space="0" w:color="auto"/>
            <w:right w:val="none" w:sz="0" w:space="0" w:color="auto"/>
          </w:divBdr>
          <w:divsChild>
            <w:div w:id="449975348">
              <w:marLeft w:val="0"/>
              <w:marRight w:val="0"/>
              <w:marTop w:val="0"/>
              <w:marBottom w:val="0"/>
              <w:divBdr>
                <w:top w:val="none" w:sz="0" w:space="0" w:color="auto"/>
                <w:left w:val="none" w:sz="0" w:space="0" w:color="auto"/>
                <w:bottom w:val="none" w:sz="0" w:space="0" w:color="auto"/>
                <w:right w:val="none" w:sz="0" w:space="0" w:color="auto"/>
              </w:divBdr>
              <w:divsChild>
                <w:div w:id="1966110836">
                  <w:marLeft w:val="0"/>
                  <w:marRight w:val="0"/>
                  <w:marTop w:val="0"/>
                  <w:marBottom w:val="0"/>
                  <w:divBdr>
                    <w:top w:val="none" w:sz="0" w:space="0" w:color="auto"/>
                    <w:left w:val="none" w:sz="0" w:space="0" w:color="auto"/>
                    <w:bottom w:val="none" w:sz="0" w:space="0" w:color="auto"/>
                    <w:right w:val="none" w:sz="0" w:space="0" w:color="auto"/>
                  </w:divBdr>
                  <w:divsChild>
                    <w:div w:id="1263491368">
                      <w:marLeft w:val="0"/>
                      <w:marRight w:val="0"/>
                      <w:marTop w:val="0"/>
                      <w:marBottom w:val="0"/>
                      <w:divBdr>
                        <w:top w:val="none" w:sz="0" w:space="0" w:color="auto"/>
                        <w:left w:val="none" w:sz="0" w:space="0" w:color="auto"/>
                        <w:bottom w:val="none" w:sz="0" w:space="0" w:color="auto"/>
                        <w:right w:val="none" w:sz="0" w:space="0" w:color="auto"/>
                      </w:divBdr>
                      <w:divsChild>
                        <w:div w:id="1406147461">
                          <w:marLeft w:val="0"/>
                          <w:marRight w:val="0"/>
                          <w:marTop w:val="0"/>
                          <w:marBottom w:val="0"/>
                          <w:divBdr>
                            <w:top w:val="none" w:sz="0" w:space="0" w:color="auto"/>
                            <w:left w:val="none" w:sz="0" w:space="0" w:color="auto"/>
                            <w:bottom w:val="none" w:sz="0" w:space="0" w:color="auto"/>
                            <w:right w:val="none" w:sz="0" w:space="0" w:color="auto"/>
                          </w:divBdr>
                          <w:divsChild>
                            <w:div w:id="779108302">
                              <w:marLeft w:val="0"/>
                              <w:marRight w:val="0"/>
                              <w:marTop w:val="0"/>
                              <w:marBottom w:val="0"/>
                              <w:divBdr>
                                <w:top w:val="none" w:sz="0" w:space="0" w:color="auto"/>
                                <w:left w:val="none" w:sz="0" w:space="0" w:color="auto"/>
                                <w:bottom w:val="none" w:sz="0" w:space="0" w:color="auto"/>
                                <w:right w:val="none" w:sz="0" w:space="0" w:color="auto"/>
                              </w:divBdr>
                              <w:divsChild>
                                <w:div w:id="1292831682">
                                  <w:marLeft w:val="0"/>
                                  <w:marRight w:val="0"/>
                                  <w:marTop w:val="0"/>
                                  <w:marBottom w:val="0"/>
                                  <w:divBdr>
                                    <w:top w:val="none" w:sz="0" w:space="0" w:color="auto"/>
                                    <w:left w:val="none" w:sz="0" w:space="0" w:color="auto"/>
                                    <w:bottom w:val="none" w:sz="0" w:space="0" w:color="auto"/>
                                    <w:right w:val="none" w:sz="0" w:space="0" w:color="auto"/>
                                  </w:divBdr>
                                  <w:divsChild>
                                    <w:div w:id="856384871">
                                      <w:marLeft w:val="0"/>
                                      <w:marRight w:val="0"/>
                                      <w:marTop w:val="0"/>
                                      <w:marBottom w:val="0"/>
                                      <w:divBdr>
                                        <w:top w:val="none" w:sz="0" w:space="0" w:color="auto"/>
                                        <w:left w:val="none" w:sz="0" w:space="0" w:color="auto"/>
                                        <w:bottom w:val="none" w:sz="0" w:space="0" w:color="auto"/>
                                        <w:right w:val="none" w:sz="0" w:space="0" w:color="auto"/>
                                      </w:divBdr>
                                      <w:divsChild>
                                        <w:div w:id="405761260">
                                          <w:marLeft w:val="0"/>
                                          <w:marRight w:val="0"/>
                                          <w:marTop w:val="0"/>
                                          <w:marBottom w:val="0"/>
                                          <w:divBdr>
                                            <w:top w:val="none" w:sz="0" w:space="0" w:color="auto"/>
                                            <w:left w:val="none" w:sz="0" w:space="0" w:color="auto"/>
                                            <w:bottom w:val="none" w:sz="0" w:space="0" w:color="auto"/>
                                            <w:right w:val="none" w:sz="0" w:space="0" w:color="auto"/>
                                          </w:divBdr>
                                        </w:div>
                                        <w:div w:id="1143766544">
                                          <w:marLeft w:val="0"/>
                                          <w:marRight w:val="0"/>
                                          <w:marTop w:val="0"/>
                                          <w:marBottom w:val="0"/>
                                          <w:divBdr>
                                            <w:top w:val="none" w:sz="0" w:space="0" w:color="auto"/>
                                            <w:left w:val="none" w:sz="0" w:space="0" w:color="auto"/>
                                            <w:bottom w:val="none" w:sz="0" w:space="0" w:color="auto"/>
                                            <w:right w:val="none" w:sz="0" w:space="0" w:color="auto"/>
                                          </w:divBdr>
                                        </w:div>
                                        <w:div w:id="1353798901">
                                          <w:marLeft w:val="0"/>
                                          <w:marRight w:val="0"/>
                                          <w:marTop w:val="0"/>
                                          <w:marBottom w:val="0"/>
                                          <w:divBdr>
                                            <w:top w:val="none" w:sz="0" w:space="0" w:color="auto"/>
                                            <w:left w:val="none" w:sz="0" w:space="0" w:color="auto"/>
                                            <w:bottom w:val="none" w:sz="0" w:space="0" w:color="auto"/>
                                            <w:right w:val="none" w:sz="0" w:space="0" w:color="auto"/>
                                          </w:divBdr>
                                        </w:div>
                                        <w:div w:id="178626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186355-B7D3-4149-BAF6-615BE93B2D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2092</Words>
  <Characters>15219</Characters>
  <Application>Microsoft Office Word</Application>
  <DocSecurity>8</DocSecurity>
  <Lines>126</Lines>
  <Paragraphs>34</Paragraphs>
  <ScaleCrop>false</ScaleCrop>
  <HeadingPairs>
    <vt:vector size="2" baseType="variant">
      <vt:variant>
        <vt:lpstr>Titel</vt:lpstr>
      </vt:variant>
      <vt:variant>
        <vt:i4>1</vt:i4>
      </vt:variant>
    </vt:vector>
  </HeadingPairs>
  <TitlesOfParts>
    <vt:vector size="1" baseType="lpstr">
      <vt:lpstr/>
    </vt:vector>
  </TitlesOfParts>
  <Company>GKD Recklinghausen</Company>
  <LinksUpToDate>false</LinksUpToDate>
  <CharactersWithSpaces>17277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Herrmann, Michael</dc:creator>
  <cp:lastModifiedBy>Steck, Ingrid</cp:lastModifiedBy>
  <cp:revision>12</cp:revision>
  <cp:lastPrinted>2017-01-24T10:14:00Z</cp:lastPrinted>
  <dcterms:created xsi:type="dcterms:W3CDTF">2017-01-12T09:09:00Z</dcterms:created>
  <dcterms:modified xsi:type="dcterms:W3CDTF">2017-01-24T10:14:00Z</dcterms:modified>
</cp:coreProperties>
</file>